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Pr="00E6133E" w:rsidRDefault="00E6133E" w:rsidP="00FC6D52">
            <w:pPr>
              <w:rPr>
                <w:rFonts w:asciiTheme="minorHAnsi" w:hAnsiTheme="minorHAnsi" w:cstheme="minorHAnsi"/>
              </w:rPr>
            </w:pPr>
            <w:r w:rsidRPr="00E6133E">
              <w:rPr>
                <w:rFonts w:asciiTheme="minorHAnsi" w:hAnsiTheme="minorHAnsi" w:cstheme="minorHAnsi"/>
              </w:rPr>
              <w:t>Urinary Tract Management</w:t>
            </w:r>
            <w:bookmarkStart w:id="0" w:name="_GoBack"/>
            <w:bookmarkEnd w:id="0"/>
          </w:p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>
            <w:pPr>
              <w:rPr>
                <w:rFonts w:asciiTheme="minorHAnsi" w:hAnsiTheme="minorHAnsi" w:cstheme="minorHAnsi"/>
              </w:rPr>
            </w:pPr>
          </w:p>
          <w:p w:rsidR="00E6133E" w:rsidRDefault="00E6133E" w:rsidP="00FC6D52">
            <w:pPr>
              <w:rPr>
                <w:rFonts w:ascii="Calibri" w:hAnsi="Calibri" w:cs="Calibri"/>
              </w:rPr>
            </w:pPr>
            <w:r w:rsidRPr="00E6133E">
              <w:rPr>
                <w:rFonts w:ascii="Calibri" w:hAnsi="Calibri" w:cs="Calibri"/>
              </w:rPr>
              <w:t>Urinary Tract Management</w:t>
            </w:r>
          </w:p>
          <w:p w:rsidR="00E6133E" w:rsidRPr="00E6133E" w:rsidRDefault="00E6133E" w:rsidP="00FC6D52">
            <w:pPr>
              <w:rPr>
                <w:rFonts w:asciiTheme="minorHAnsi" w:hAnsiTheme="minorHAnsi" w:cstheme="minorHAnsi"/>
              </w:rPr>
            </w:pPr>
          </w:p>
          <w:p w:rsidR="00E6133E" w:rsidRPr="00E6133E" w:rsidRDefault="00E6133E" w:rsidP="00E613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6133E">
              <w:rPr>
                <w:rFonts w:asciiTheme="minorHAnsi" w:hAnsiTheme="minorHAnsi" w:cstheme="minorHAnsi"/>
                <w:b/>
              </w:rPr>
              <w:t>Policy</w:t>
            </w:r>
          </w:p>
          <w:p w:rsidR="00E6133E" w:rsidRDefault="00E6133E" w:rsidP="00E613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6133E">
              <w:rPr>
                <w:rFonts w:asciiTheme="minorHAnsi" w:hAnsiTheme="minorHAnsi" w:cstheme="minorHAnsi"/>
              </w:rPr>
              <w:t>To promote best practice for the assessment and management of urinary tract infections (UTIs) in residents. Obtain urine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6133E">
              <w:rPr>
                <w:rFonts w:asciiTheme="minorHAnsi" w:hAnsiTheme="minorHAnsi" w:cstheme="minorHAnsi"/>
              </w:rPr>
              <w:t>cultures only when residents have the indicated clinical signs and symptoms of a UTI.</w:t>
            </w:r>
          </w:p>
          <w:p w:rsidR="00E6133E" w:rsidRPr="00E6133E" w:rsidRDefault="00E6133E" w:rsidP="00E613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E6133E" w:rsidRPr="00E6133E" w:rsidRDefault="00E6133E" w:rsidP="00E613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6133E">
              <w:rPr>
                <w:rFonts w:asciiTheme="minorHAnsi" w:hAnsiTheme="minorHAnsi" w:cstheme="minorHAnsi"/>
              </w:rPr>
              <w:t>1. Obtain and store urine for culture properly.</w:t>
            </w:r>
          </w:p>
          <w:p w:rsidR="00E6133E" w:rsidRPr="00E6133E" w:rsidRDefault="00E6133E" w:rsidP="00E613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6133E">
              <w:rPr>
                <w:rFonts w:asciiTheme="minorHAnsi" w:hAnsiTheme="minorHAnsi" w:cstheme="minorHAnsi"/>
              </w:rPr>
              <w:t>2. Prescribe antibiotics only when specified criteria have been met, and reassess when urine culture and susceptibility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6133E">
              <w:rPr>
                <w:rFonts w:asciiTheme="minorHAnsi" w:hAnsiTheme="minorHAnsi" w:cstheme="minorHAnsi"/>
              </w:rPr>
              <w:t>results have been received.</w:t>
            </w:r>
          </w:p>
          <w:p w:rsidR="00E6133E" w:rsidRDefault="00E6133E" w:rsidP="00E613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E6133E" w:rsidRPr="00E6133E" w:rsidRDefault="00E6133E" w:rsidP="00E613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6133E">
              <w:rPr>
                <w:rFonts w:asciiTheme="minorHAnsi" w:hAnsiTheme="minorHAnsi" w:cstheme="minorHAnsi"/>
                <w:b/>
              </w:rPr>
              <w:t>Scope</w:t>
            </w:r>
          </w:p>
          <w:p w:rsidR="00E6133E" w:rsidRPr="00E6133E" w:rsidRDefault="00E6133E" w:rsidP="00E613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6133E">
              <w:rPr>
                <w:rFonts w:asciiTheme="minorHAnsi" w:hAnsiTheme="minorHAnsi" w:cstheme="minorHAnsi"/>
              </w:rPr>
              <w:t>All staff will follow best practice guidelines for the assessment and management of UTIs. This applies to all health care workers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6133E">
              <w:rPr>
                <w:rFonts w:asciiTheme="minorHAnsi" w:hAnsiTheme="minorHAnsi" w:cstheme="minorHAnsi"/>
              </w:rPr>
              <w:t>who are involved in the assessment and documentation of residents’ clinical status, collection of specimens, prescribing of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6133E">
              <w:rPr>
                <w:rFonts w:asciiTheme="minorHAnsi" w:hAnsiTheme="minorHAnsi" w:cstheme="minorHAnsi"/>
              </w:rPr>
              <w:t>antibiotics and management of UTIs.</w:t>
            </w:r>
          </w:p>
          <w:p w:rsidR="00E6133E" w:rsidRDefault="00E6133E" w:rsidP="00E613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E6133E" w:rsidRPr="00E6133E" w:rsidRDefault="00E6133E" w:rsidP="00E613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6133E">
              <w:rPr>
                <w:rFonts w:asciiTheme="minorHAnsi" w:hAnsiTheme="minorHAnsi" w:cstheme="minorHAnsi"/>
                <w:b/>
              </w:rPr>
              <w:t>Guiding Principle</w:t>
            </w:r>
          </w:p>
          <w:p w:rsidR="00E6133E" w:rsidRDefault="00E6133E" w:rsidP="00E613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6133E">
              <w:rPr>
                <w:rFonts w:asciiTheme="minorHAnsi" w:hAnsiTheme="minorHAnsi" w:cstheme="minorHAnsi"/>
              </w:rPr>
              <w:t>In the absence of a minimum set of symptoms or signs of a UTI, urine should not be cultured and antimicrobials should not be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6133E">
              <w:rPr>
                <w:rFonts w:asciiTheme="minorHAnsi" w:hAnsiTheme="minorHAnsi" w:cstheme="minorHAnsi"/>
              </w:rPr>
              <w:t>prescribed. Unnecessary use of antimicrobials can lead to adverse consequences, including the development of multi-drug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6133E">
              <w:rPr>
                <w:rFonts w:asciiTheme="minorHAnsi" w:hAnsiTheme="minorHAnsi" w:cstheme="minorHAnsi"/>
              </w:rPr>
              <w:t>resistance, drug-related adverse effects, harmful drug interactions and excessive cost.</w:t>
            </w:r>
          </w:p>
          <w:p w:rsidR="00E6133E" w:rsidRPr="00E6133E" w:rsidRDefault="00E6133E" w:rsidP="00E613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E6133E" w:rsidRDefault="00E6133E" w:rsidP="00E613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6133E">
              <w:rPr>
                <w:rFonts w:asciiTheme="minorHAnsi" w:hAnsiTheme="minorHAnsi" w:cstheme="minorHAnsi"/>
                <w:b/>
              </w:rPr>
              <w:t>Procedure</w:t>
            </w:r>
          </w:p>
          <w:p w:rsidR="00E6133E" w:rsidRPr="00E6133E" w:rsidRDefault="00E6133E" w:rsidP="00E613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:rsidR="00E6133E" w:rsidRDefault="00E6133E" w:rsidP="00E6133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6133E">
              <w:rPr>
                <w:rFonts w:asciiTheme="minorHAnsi" w:hAnsiTheme="minorHAnsi" w:cstheme="minorHAnsi"/>
              </w:rPr>
              <w:t>Obtain urine cultures only when a resident has the indicated clinical signs and symptoms of a UTI. The clinical signs and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6133E">
              <w:rPr>
                <w:rFonts w:asciiTheme="minorHAnsi" w:hAnsiTheme="minorHAnsi" w:cstheme="minorHAnsi"/>
              </w:rPr>
              <w:t>symptoms are:</w:t>
            </w:r>
          </w:p>
          <w:p w:rsidR="00E6133E" w:rsidRPr="00E6133E" w:rsidRDefault="00E6133E" w:rsidP="00E6133E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</w:rPr>
            </w:pPr>
          </w:p>
          <w:p w:rsidR="00E6133E" w:rsidRPr="00E6133E" w:rsidRDefault="00E6133E" w:rsidP="00E6133E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</w:rPr>
            </w:pPr>
            <w:r w:rsidRPr="00E6133E">
              <w:rPr>
                <w:rFonts w:asciiTheme="minorHAnsi" w:hAnsiTheme="minorHAnsi" w:cstheme="minorHAnsi"/>
              </w:rPr>
              <w:t>• Acute dysuria and/or</w:t>
            </w:r>
          </w:p>
          <w:p w:rsidR="00E6133E" w:rsidRPr="00E6133E" w:rsidRDefault="00E6133E" w:rsidP="00E6133E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</w:rPr>
            </w:pPr>
            <w:r w:rsidRPr="00E6133E">
              <w:rPr>
                <w:rFonts w:asciiTheme="minorHAnsi" w:hAnsiTheme="minorHAnsi" w:cstheme="minorHAnsi"/>
              </w:rPr>
              <w:t>• Two or more of the following:</w:t>
            </w:r>
          </w:p>
          <w:p w:rsidR="00E6133E" w:rsidRPr="00E6133E" w:rsidRDefault="00E6133E" w:rsidP="00E6133E">
            <w:pPr>
              <w:autoSpaceDE w:val="0"/>
              <w:autoSpaceDN w:val="0"/>
              <w:adjustRightInd w:val="0"/>
              <w:ind w:left="1620" w:right="796" w:hanging="180"/>
              <w:rPr>
                <w:rFonts w:asciiTheme="minorHAnsi" w:hAnsiTheme="minorHAnsi" w:cstheme="minorHAnsi"/>
              </w:rPr>
            </w:pPr>
            <w:r w:rsidRPr="00E6133E">
              <w:rPr>
                <w:rFonts w:asciiTheme="minorHAnsi" w:hAnsiTheme="minorHAnsi" w:cstheme="minorHAnsi"/>
              </w:rPr>
              <w:t>o Fever (oral temperature greater than 37.9 C or 1.5C above baseline on 2 consecutive occasions within 12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6133E">
              <w:rPr>
                <w:rFonts w:asciiTheme="minorHAnsi" w:hAnsiTheme="minorHAnsi" w:cstheme="minorHAnsi"/>
              </w:rPr>
              <w:t>hours)</w:t>
            </w:r>
          </w:p>
          <w:p w:rsidR="00E6133E" w:rsidRDefault="00E6133E" w:rsidP="00E6133E">
            <w:pPr>
              <w:autoSpaceDE w:val="0"/>
              <w:autoSpaceDN w:val="0"/>
              <w:adjustRightInd w:val="0"/>
              <w:ind w:left="1620" w:right="796" w:hanging="180"/>
              <w:rPr>
                <w:rFonts w:asciiTheme="minorHAnsi" w:hAnsiTheme="minorHAnsi" w:cstheme="minorHAnsi"/>
              </w:rPr>
            </w:pPr>
            <w:r w:rsidRPr="00E6133E">
              <w:rPr>
                <w:rFonts w:asciiTheme="minorHAnsi" w:hAnsiTheme="minorHAnsi" w:cstheme="minorHAnsi"/>
              </w:rPr>
              <w:t xml:space="preserve">o New flank pain or suprapubic pain or tenderness </w:t>
            </w:r>
          </w:p>
          <w:p w:rsidR="00E6133E" w:rsidRPr="00E6133E" w:rsidRDefault="00E6133E" w:rsidP="00E6133E">
            <w:pPr>
              <w:autoSpaceDE w:val="0"/>
              <w:autoSpaceDN w:val="0"/>
              <w:adjustRightInd w:val="0"/>
              <w:ind w:left="1620" w:right="796" w:hanging="180"/>
              <w:rPr>
                <w:rFonts w:asciiTheme="minorHAnsi" w:hAnsiTheme="minorHAnsi" w:cstheme="minorHAnsi"/>
              </w:rPr>
            </w:pPr>
            <w:r w:rsidRPr="00E6133E">
              <w:rPr>
                <w:rFonts w:asciiTheme="minorHAnsi" w:hAnsiTheme="minorHAnsi" w:cstheme="minorHAnsi"/>
              </w:rPr>
              <w:t>o New or increased urinary frequency/urgency</w:t>
            </w:r>
          </w:p>
          <w:p w:rsidR="00E6133E" w:rsidRPr="00E6133E" w:rsidRDefault="00E6133E" w:rsidP="00E6133E">
            <w:pPr>
              <w:autoSpaceDE w:val="0"/>
              <w:autoSpaceDN w:val="0"/>
              <w:adjustRightInd w:val="0"/>
              <w:ind w:left="1620" w:right="796" w:hanging="180"/>
              <w:rPr>
                <w:rFonts w:asciiTheme="minorHAnsi" w:hAnsiTheme="minorHAnsi" w:cstheme="minorHAnsi"/>
              </w:rPr>
            </w:pPr>
            <w:r w:rsidRPr="00E6133E">
              <w:rPr>
                <w:rFonts w:asciiTheme="minorHAnsi" w:hAnsiTheme="minorHAnsi" w:cstheme="minorHAnsi"/>
              </w:rPr>
              <w:t>o Gross hematuria</w:t>
            </w:r>
          </w:p>
          <w:p w:rsidR="00E6133E" w:rsidRDefault="00E6133E" w:rsidP="00E613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E6133E" w:rsidRDefault="00E6133E" w:rsidP="00E6133E">
            <w:pPr>
              <w:autoSpaceDE w:val="0"/>
              <w:autoSpaceDN w:val="0"/>
              <w:adjustRightInd w:val="0"/>
              <w:ind w:left="810"/>
              <w:rPr>
                <w:rFonts w:asciiTheme="minorHAnsi" w:hAnsiTheme="minorHAnsi" w:cstheme="minorHAnsi"/>
              </w:rPr>
            </w:pPr>
            <w:r w:rsidRPr="00E6133E">
              <w:rPr>
                <w:rFonts w:asciiTheme="minorHAnsi" w:hAnsiTheme="minorHAnsi" w:cstheme="minorHAnsi"/>
              </w:rPr>
              <w:t>Acute onset of delirium may be used as one of the criteria for residents with advanced dementia only.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E6133E">
              <w:rPr>
                <w:rFonts w:asciiTheme="minorHAnsi" w:hAnsiTheme="minorHAnsi" w:cstheme="minorHAnsi"/>
              </w:rPr>
              <w:t>Encourage and monitor increased flui</w:t>
            </w:r>
            <w:r>
              <w:rPr>
                <w:rFonts w:asciiTheme="minorHAnsi" w:hAnsiTheme="minorHAnsi" w:cstheme="minorHAnsi"/>
              </w:rPr>
              <w:t>d intake for the next 24 hours.</w:t>
            </w:r>
          </w:p>
          <w:p w:rsidR="00E6133E" w:rsidRDefault="00E6133E" w:rsidP="00E613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617068" w:rsidRPr="00E6133E" w:rsidRDefault="00617068" w:rsidP="00FC6D52">
            <w:pPr>
              <w:rPr>
                <w:rFonts w:asciiTheme="minorHAnsi" w:hAnsiTheme="minorHAnsi" w:cstheme="minorHAnsi"/>
              </w:rPr>
            </w:pPr>
          </w:p>
          <w:p w:rsidR="00617068" w:rsidRPr="00E6133E" w:rsidRDefault="00617068" w:rsidP="00FC6D52">
            <w:pPr>
              <w:rPr>
                <w:rFonts w:asciiTheme="minorHAnsi" w:hAnsiTheme="minorHAnsi" w:cstheme="minorHAnsi"/>
              </w:rPr>
            </w:pPr>
          </w:p>
          <w:p w:rsidR="00617068" w:rsidRPr="00E6133E" w:rsidRDefault="00617068" w:rsidP="00FC6D52">
            <w:pPr>
              <w:rPr>
                <w:rFonts w:asciiTheme="minorHAnsi" w:hAnsiTheme="minorHAnsi" w:cstheme="minorHAnsi"/>
              </w:rPr>
            </w:pPr>
          </w:p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E6133E">
              <w:t>Page 1 of 2</w:t>
            </w:r>
          </w:p>
          <w:p w:rsidR="00FC6D52" w:rsidRDefault="00FC6D52" w:rsidP="00FC6D52"/>
        </w:tc>
      </w:tr>
    </w:tbl>
    <w:p w:rsidR="00B731B7" w:rsidRDefault="00B731B7" w:rsidP="00B731B7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EB7F69" w:rsidTr="002A730C">
        <w:tc>
          <w:tcPr>
            <w:tcW w:w="8748" w:type="dxa"/>
            <w:gridSpan w:val="4"/>
            <w:vAlign w:val="center"/>
          </w:tcPr>
          <w:p w:rsidR="00EB7F69" w:rsidRDefault="00EB7F69" w:rsidP="002A730C"/>
          <w:p w:rsidR="00EB7F69" w:rsidRDefault="00E6133E" w:rsidP="002A730C">
            <w:r w:rsidRPr="00E6133E">
              <w:rPr>
                <w:rFonts w:ascii="Calibri" w:hAnsi="Calibri" w:cs="Calibri"/>
              </w:rPr>
              <w:t>Urinary Tract Management</w:t>
            </w:r>
            <w:r>
              <w:t xml:space="preserve"> </w:t>
            </w:r>
          </w:p>
          <w:p w:rsidR="00E6133E" w:rsidRDefault="00E6133E" w:rsidP="002A730C"/>
        </w:tc>
        <w:tc>
          <w:tcPr>
            <w:tcW w:w="2340" w:type="dxa"/>
            <w:gridSpan w:val="2"/>
          </w:tcPr>
          <w:p w:rsidR="00EB7F69" w:rsidRDefault="00EB7F69" w:rsidP="002A730C"/>
          <w:p w:rsidR="00EB7F69" w:rsidRPr="001F4527" w:rsidRDefault="00EB7F69" w:rsidP="002A73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Pr="00C826D3">
              <w:rPr>
                <w:sz w:val="22"/>
              </w:rPr>
              <w:t xml:space="preserve"> </w:t>
            </w:r>
          </w:p>
          <w:p w:rsidR="00EB7F69" w:rsidRDefault="00EB7F69" w:rsidP="002A730C"/>
        </w:tc>
      </w:tr>
      <w:tr w:rsidR="00EB7F69" w:rsidTr="002A730C">
        <w:tc>
          <w:tcPr>
            <w:tcW w:w="11088" w:type="dxa"/>
            <w:gridSpan w:val="6"/>
          </w:tcPr>
          <w:p w:rsidR="00EB7F69" w:rsidRDefault="00EB7F69" w:rsidP="002A730C"/>
          <w:p w:rsidR="00EB7F69" w:rsidRDefault="00EB7F69" w:rsidP="002A730C"/>
          <w:p w:rsidR="00E6133E" w:rsidRDefault="00E6133E" w:rsidP="00E6133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6133E">
              <w:rPr>
                <w:rFonts w:ascii="Calibri" w:hAnsi="Calibri" w:cs="Calibri"/>
              </w:rPr>
              <w:t>Assess residents for UTI only when the indicated clinical signs and symptoms of a UTI are present (see above). Routine</w:t>
            </w:r>
            <w:r>
              <w:rPr>
                <w:rFonts w:ascii="Calibri" w:hAnsi="Calibri" w:cs="Calibri"/>
              </w:rPr>
              <w:t xml:space="preserve"> </w:t>
            </w:r>
            <w:r w:rsidRPr="00E6133E">
              <w:rPr>
                <w:rFonts w:ascii="Calibri" w:hAnsi="Calibri" w:cs="Calibri"/>
              </w:rPr>
              <w:t>cultures should not be done on admission or as part of annual screening.</w:t>
            </w:r>
          </w:p>
          <w:p w:rsidR="00E6133E" w:rsidRPr="00E6133E" w:rsidRDefault="00E6133E" w:rsidP="00E6133E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</w:rPr>
            </w:pPr>
          </w:p>
          <w:p w:rsidR="00E6133E" w:rsidRDefault="00E6133E" w:rsidP="00E6133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6133E">
              <w:rPr>
                <w:rFonts w:ascii="Calibri" w:hAnsi="Calibri" w:cs="Calibri"/>
              </w:rPr>
              <w:t>Document the resident’s symptoms and clinical status in their chart or record as per facility policy.</w:t>
            </w:r>
          </w:p>
          <w:p w:rsidR="00E6133E" w:rsidRPr="00E6133E" w:rsidRDefault="00E6133E" w:rsidP="00E6133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E6133E" w:rsidRDefault="00E6133E" w:rsidP="00E6133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6133E">
              <w:rPr>
                <w:rFonts w:ascii="Calibri" w:hAnsi="Calibri" w:cs="Calibri"/>
              </w:rPr>
              <w:t>When a Urinary Tract infection is suspected. Obtain a clean catch urine specimen. Obtain a urine dipstick. Follow the</w:t>
            </w:r>
            <w:r>
              <w:rPr>
                <w:rFonts w:ascii="Calibri" w:hAnsi="Calibri" w:cs="Calibri"/>
              </w:rPr>
              <w:t xml:space="preserve"> </w:t>
            </w:r>
            <w:r w:rsidRPr="00E6133E">
              <w:rPr>
                <w:rFonts w:ascii="Calibri" w:hAnsi="Calibri" w:cs="Calibri"/>
              </w:rPr>
              <w:t>instructions on the urine dip stick bottle.</w:t>
            </w:r>
          </w:p>
          <w:p w:rsidR="00E6133E" w:rsidRPr="00E6133E" w:rsidRDefault="00E6133E" w:rsidP="00E6133E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</w:rPr>
            </w:pPr>
          </w:p>
          <w:p w:rsidR="00E6133E" w:rsidRDefault="00E6133E" w:rsidP="00E6133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6133E">
              <w:rPr>
                <w:rFonts w:ascii="Calibri" w:hAnsi="Calibri" w:cs="Calibri"/>
              </w:rPr>
              <w:t>Fill out the designated form and send results of the dip to the physician or Nurse Practitioner.</w:t>
            </w:r>
          </w:p>
          <w:p w:rsidR="00E6133E" w:rsidRPr="00E6133E" w:rsidRDefault="00E6133E" w:rsidP="00E6133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E6133E" w:rsidRDefault="00E6133E" w:rsidP="00E6133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6133E">
              <w:rPr>
                <w:rFonts w:ascii="Calibri" w:hAnsi="Calibri" w:cs="Calibri"/>
              </w:rPr>
              <w:t>The Physician or Nurse Practitioner may order a urine culture. It is the policy of this facility to obtain urine culture</w:t>
            </w:r>
            <w:r>
              <w:rPr>
                <w:rFonts w:ascii="Calibri" w:hAnsi="Calibri" w:cs="Calibri"/>
              </w:rPr>
              <w:t xml:space="preserve"> </w:t>
            </w:r>
            <w:r w:rsidRPr="00E6133E">
              <w:rPr>
                <w:rFonts w:ascii="Calibri" w:hAnsi="Calibri" w:cs="Calibri"/>
              </w:rPr>
              <w:t xml:space="preserve">results prior to placing the resident on an antibiotic. In </w:t>
            </w:r>
            <w:r w:rsidRPr="00E6133E">
              <w:rPr>
                <w:rFonts w:ascii="Calibri" w:hAnsi="Calibri" w:cs="Calibri"/>
                <w:b/>
                <w:bCs/>
              </w:rPr>
              <w:t xml:space="preserve">some </w:t>
            </w:r>
            <w:r w:rsidRPr="00E6133E">
              <w:rPr>
                <w:rFonts w:ascii="Calibri" w:hAnsi="Calibri" w:cs="Calibri"/>
              </w:rPr>
              <w:t>cases</w:t>
            </w:r>
            <w:r>
              <w:rPr>
                <w:rFonts w:ascii="Calibri" w:hAnsi="Calibri" w:cs="Calibri"/>
              </w:rPr>
              <w:t>,</w:t>
            </w:r>
            <w:r w:rsidRPr="00E6133E">
              <w:rPr>
                <w:rFonts w:ascii="Calibri" w:hAnsi="Calibri" w:cs="Calibri"/>
              </w:rPr>
              <w:t xml:space="preserve"> the provider may order an antibiotic before the</w:t>
            </w:r>
            <w:r>
              <w:rPr>
                <w:rFonts w:ascii="Calibri" w:hAnsi="Calibri" w:cs="Calibri"/>
              </w:rPr>
              <w:t xml:space="preserve"> </w:t>
            </w:r>
            <w:r w:rsidRPr="00E6133E">
              <w:rPr>
                <w:rFonts w:ascii="Calibri" w:hAnsi="Calibri" w:cs="Calibri"/>
              </w:rPr>
              <w:t>culture results, based on their knowledge and history of the resident.</w:t>
            </w:r>
          </w:p>
          <w:p w:rsidR="00E6133E" w:rsidRPr="00E6133E" w:rsidRDefault="00E6133E" w:rsidP="00E6133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E6133E" w:rsidRDefault="00E6133E" w:rsidP="00E6133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E6133E">
              <w:rPr>
                <w:rFonts w:ascii="Calibri" w:hAnsi="Calibri" w:cs="Calibri"/>
              </w:rPr>
              <w:t>Obtain urine cultures properly. Collect urine specimen only via midstream clean catch or in and out catheter. Collect</w:t>
            </w:r>
            <w:r>
              <w:rPr>
                <w:rFonts w:ascii="Calibri" w:hAnsi="Calibri" w:cs="Calibri"/>
              </w:rPr>
              <w:t xml:space="preserve"> </w:t>
            </w:r>
            <w:r w:rsidRPr="00E6133E">
              <w:rPr>
                <w:rFonts w:ascii="Calibri" w:hAnsi="Calibri" w:cs="Calibri"/>
                <w:b/>
                <w:bCs/>
              </w:rPr>
              <w:t>before antibiotic treatment is started.</w:t>
            </w:r>
          </w:p>
          <w:p w:rsidR="00E6133E" w:rsidRPr="00E6133E" w:rsidRDefault="00E6133E" w:rsidP="00E6133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  <w:p w:rsidR="00E6133E" w:rsidRDefault="00E6133E" w:rsidP="00E6133E">
            <w:p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Pr="00E6133E">
              <w:rPr>
                <w:rFonts w:ascii="Calibri" w:hAnsi="Calibri" w:cs="Calibri"/>
              </w:rPr>
              <w:t>. Store urine cultures properly. Keep the urine sample refrigerated and submit it to the laboratory within 24 hours of</w:t>
            </w:r>
            <w:r>
              <w:rPr>
                <w:rFonts w:ascii="Calibri" w:hAnsi="Calibri" w:cs="Calibri"/>
              </w:rPr>
              <w:t xml:space="preserve"> </w:t>
            </w:r>
            <w:r w:rsidRPr="00E6133E">
              <w:rPr>
                <w:rFonts w:ascii="Calibri" w:hAnsi="Calibri" w:cs="Calibri"/>
              </w:rPr>
              <w:t>collection.</w:t>
            </w:r>
          </w:p>
          <w:p w:rsidR="00E6133E" w:rsidRPr="00E6133E" w:rsidRDefault="00E6133E" w:rsidP="00E6133E">
            <w:p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</w:rPr>
            </w:pPr>
          </w:p>
          <w:p w:rsidR="00E6133E" w:rsidRPr="00E6133E" w:rsidRDefault="00E6133E" w:rsidP="00E6133E">
            <w:p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Pr="00E6133E">
              <w:rPr>
                <w:rFonts w:ascii="Calibri" w:hAnsi="Calibri" w:cs="Calibri"/>
              </w:rPr>
              <w:t>. Wait for the results of the urine culture. Inform the physician/nurse practitioner about the results of the urine</w:t>
            </w:r>
            <w:r>
              <w:rPr>
                <w:rFonts w:ascii="Calibri" w:hAnsi="Calibri" w:cs="Calibri"/>
              </w:rPr>
              <w:t xml:space="preserve"> </w:t>
            </w:r>
            <w:r w:rsidRPr="00E6133E">
              <w:rPr>
                <w:rFonts w:ascii="Calibri" w:hAnsi="Calibri" w:cs="Calibri"/>
              </w:rPr>
              <w:t>Culture results.</w:t>
            </w:r>
          </w:p>
          <w:p w:rsidR="00E6133E" w:rsidRDefault="00E6133E" w:rsidP="002A730C"/>
          <w:p w:rsidR="00EB7F69" w:rsidRDefault="00EB7F69" w:rsidP="002A730C"/>
          <w:p w:rsidR="00EB7F69" w:rsidRDefault="00EB7F69" w:rsidP="002A730C">
            <w:r>
              <w:t xml:space="preserve"> </w:t>
            </w:r>
          </w:p>
          <w:p w:rsidR="00EB7F69" w:rsidRDefault="00EB7F69" w:rsidP="002A730C">
            <w:pPr>
              <w:ind w:left="405"/>
            </w:pPr>
          </w:p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</w:tc>
      </w:tr>
      <w:tr w:rsidR="00EB7F69" w:rsidTr="002A730C">
        <w:tc>
          <w:tcPr>
            <w:tcW w:w="2203" w:type="dxa"/>
          </w:tcPr>
          <w:p w:rsidR="00EB7F69" w:rsidRDefault="00EB7F69" w:rsidP="002A730C">
            <w:r>
              <w:t>Approved:</w:t>
            </w:r>
          </w:p>
        </w:tc>
        <w:tc>
          <w:tcPr>
            <w:tcW w:w="2203" w:type="dxa"/>
          </w:tcPr>
          <w:p w:rsidR="00EB7F69" w:rsidRDefault="00EB7F69" w:rsidP="002A730C">
            <w:r>
              <w:t>Effective Date:</w:t>
            </w:r>
          </w:p>
        </w:tc>
        <w:tc>
          <w:tcPr>
            <w:tcW w:w="2203" w:type="dxa"/>
          </w:tcPr>
          <w:p w:rsidR="00EB7F69" w:rsidRDefault="00EB7F69" w:rsidP="002A730C">
            <w:r>
              <w:t>Revision Date:</w:t>
            </w:r>
          </w:p>
          <w:p w:rsidR="00EB7F69" w:rsidRDefault="00EB7F69" w:rsidP="002A730C"/>
          <w:p w:rsidR="00EB7F69" w:rsidRDefault="00EB7F69" w:rsidP="002A730C"/>
        </w:tc>
        <w:tc>
          <w:tcPr>
            <w:tcW w:w="2203" w:type="dxa"/>
            <w:gridSpan w:val="2"/>
          </w:tcPr>
          <w:p w:rsidR="00EB7F69" w:rsidRDefault="00EB7F69" w:rsidP="002A730C">
            <w:r>
              <w:t>Change No.:</w:t>
            </w:r>
          </w:p>
        </w:tc>
        <w:tc>
          <w:tcPr>
            <w:tcW w:w="2276" w:type="dxa"/>
          </w:tcPr>
          <w:p w:rsidR="00EB7F69" w:rsidRDefault="00EB7F69" w:rsidP="002A730C">
            <w:r>
              <w:t>Page:</w:t>
            </w:r>
          </w:p>
          <w:p w:rsidR="00EB7F69" w:rsidRDefault="00EB7F69" w:rsidP="002A730C"/>
          <w:p w:rsidR="00EB7F69" w:rsidRDefault="00EB7F69" w:rsidP="002A730C">
            <w:r>
              <w:t xml:space="preserve">         </w:t>
            </w:r>
            <w:r w:rsidR="00E6133E">
              <w:t>Page 2 of 2</w:t>
            </w:r>
          </w:p>
          <w:p w:rsidR="00EB7F69" w:rsidRDefault="00EB7F69" w:rsidP="002A730C"/>
        </w:tc>
      </w:tr>
    </w:tbl>
    <w:p w:rsidR="00EB7F69" w:rsidRDefault="00EB7F69" w:rsidP="00B731B7"/>
    <w:sectPr w:rsidR="00EB7F69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18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D12C34"/>
    <w:multiLevelType w:val="hybridMultilevel"/>
    <w:tmpl w:val="C5DE8026"/>
    <w:lvl w:ilvl="0" w:tplc="BE22B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0"/>
  </w:num>
  <w:num w:numId="4">
    <w:abstractNumId w:val="14"/>
  </w:num>
  <w:num w:numId="5">
    <w:abstractNumId w:val="0"/>
  </w:num>
  <w:num w:numId="6">
    <w:abstractNumId w:val="13"/>
  </w:num>
  <w:num w:numId="7">
    <w:abstractNumId w:val="25"/>
  </w:num>
  <w:num w:numId="8">
    <w:abstractNumId w:val="22"/>
  </w:num>
  <w:num w:numId="9">
    <w:abstractNumId w:val="2"/>
  </w:num>
  <w:num w:numId="10">
    <w:abstractNumId w:val="4"/>
  </w:num>
  <w:num w:numId="11">
    <w:abstractNumId w:val="15"/>
  </w:num>
  <w:num w:numId="12">
    <w:abstractNumId w:val="1"/>
  </w:num>
  <w:num w:numId="13">
    <w:abstractNumId w:val="9"/>
  </w:num>
  <w:num w:numId="14">
    <w:abstractNumId w:val="5"/>
  </w:num>
  <w:num w:numId="15">
    <w:abstractNumId w:val="6"/>
  </w:num>
  <w:num w:numId="16">
    <w:abstractNumId w:val="11"/>
  </w:num>
  <w:num w:numId="17">
    <w:abstractNumId w:val="12"/>
  </w:num>
  <w:num w:numId="18">
    <w:abstractNumId w:val="23"/>
  </w:num>
  <w:num w:numId="19">
    <w:abstractNumId w:val="19"/>
  </w:num>
  <w:num w:numId="20">
    <w:abstractNumId w:val="7"/>
  </w:num>
  <w:num w:numId="21">
    <w:abstractNumId w:val="3"/>
  </w:num>
  <w:num w:numId="22">
    <w:abstractNumId w:val="21"/>
  </w:num>
  <w:num w:numId="23">
    <w:abstractNumId w:val="8"/>
  </w:num>
  <w:num w:numId="24">
    <w:abstractNumId w:val="18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B7"/>
    <w:rsid w:val="000001EB"/>
    <w:rsid w:val="001908A1"/>
    <w:rsid w:val="001C4DE9"/>
    <w:rsid w:val="001F4527"/>
    <w:rsid w:val="00231CDA"/>
    <w:rsid w:val="002A730C"/>
    <w:rsid w:val="00333BB5"/>
    <w:rsid w:val="00347ED8"/>
    <w:rsid w:val="004602A8"/>
    <w:rsid w:val="00495518"/>
    <w:rsid w:val="004A3044"/>
    <w:rsid w:val="00510140"/>
    <w:rsid w:val="005915DC"/>
    <w:rsid w:val="005B31CA"/>
    <w:rsid w:val="00617068"/>
    <w:rsid w:val="00693714"/>
    <w:rsid w:val="00772973"/>
    <w:rsid w:val="0084125D"/>
    <w:rsid w:val="00863F06"/>
    <w:rsid w:val="008E5F8B"/>
    <w:rsid w:val="00953EA7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37945"/>
    <w:rsid w:val="00C7775D"/>
    <w:rsid w:val="00C826D3"/>
    <w:rsid w:val="00C87D03"/>
    <w:rsid w:val="00CB556F"/>
    <w:rsid w:val="00CF6964"/>
    <w:rsid w:val="00D01EA7"/>
    <w:rsid w:val="00D22661"/>
    <w:rsid w:val="00E6133E"/>
    <w:rsid w:val="00EA510A"/>
    <w:rsid w:val="00EB7F69"/>
    <w:rsid w:val="00EE1934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A2B605E"/>
  <w15:chartTrackingRefBased/>
  <w15:docId w15:val="{771CB2AF-4AFF-4FFE-B54A-5F3F7570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E613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Colleen</cp:lastModifiedBy>
  <cp:revision>2</cp:revision>
  <cp:lastPrinted>2007-04-09T20:07:00Z</cp:lastPrinted>
  <dcterms:created xsi:type="dcterms:W3CDTF">2019-05-23T18:29:00Z</dcterms:created>
  <dcterms:modified xsi:type="dcterms:W3CDTF">2019-05-23T18:29:00Z</dcterms:modified>
</cp:coreProperties>
</file>