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p w:rsidR="00B96D09" w:rsidRDefault="00B96D09" w:rsidP="00B731B7">
            <w:r w:rsidRPr="00C157EF">
              <w:rPr>
                <w:rFonts w:asciiTheme="minorHAnsi" w:hAnsiTheme="minorHAnsi" w:cstheme="minorHAnsi"/>
              </w:rPr>
              <w:t>Trauma Informed Care</w:t>
            </w:r>
            <w:r w:rsidR="00C157EF" w:rsidRPr="00C157EF">
              <w:rPr>
                <w:rFonts w:asciiTheme="minorHAnsi" w:hAnsiTheme="minorHAnsi" w:cstheme="minorHAnsi"/>
              </w:rPr>
              <w:t xml:space="preserve"> </w:t>
            </w:r>
            <w:r w:rsidR="00C157EF" w:rsidRPr="00C157EF">
              <w:rPr>
                <w:rFonts w:asciiTheme="minorHAnsi" w:hAnsiTheme="minorHAnsi" w:cstheme="minorHAnsi"/>
              </w:rPr>
              <w:t>F699</w:t>
            </w:r>
            <w:r w:rsidR="00C157EF" w:rsidRPr="00C157EF">
              <w:rPr>
                <w:rFonts w:asciiTheme="minorHAnsi" w:hAnsiTheme="minorHAnsi" w:cstheme="minorHAnsi"/>
              </w:rPr>
              <w:t xml:space="preserve"> </w:t>
            </w:r>
            <w:r w:rsidRPr="00C157EF">
              <w:rPr>
                <w:rFonts w:asciiTheme="minorHAnsi" w:hAnsiTheme="minorHAnsi" w:cstheme="minorHAnsi"/>
              </w:rPr>
              <w:t>483.25</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C157EF" w:rsidRDefault="00C157EF" w:rsidP="00C157EF">
            <w:r w:rsidRPr="00C157EF">
              <w:rPr>
                <w:rFonts w:ascii="Calibri" w:hAnsi="Calibri" w:cs="Calibri"/>
              </w:rPr>
              <w:t>Trauma Informed Care F699 483.25</w:t>
            </w:r>
          </w:p>
          <w:p w:rsidR="00C157EF" w:rsidRDefault="00C157EF">
            <w:pPr>
              <w:rPr>
                <w:rFonts w:asciiTheme="minorHAnsi" w:hAnsiTheme="minorHAnsi" w:cstheme="minorHAnsi"/>
              </w:rPr>
            </w:pPr>
          </w:p>
          <w:p w:rsidR="00B731B7" w:rsidRPr="00C157EF" w:rsidRDefault="00B96D09">
            <w:pPr>
              <w:rPr>
                <w:rFonts w:asciiTheme="minorHAnsi" w:hAnsiTheme="minorHAnsi" w:cstheme="minorHAnsi"/>
              </w:rPr>
            </w:pPr>
            <w:r w:rsidRPr="00C157EF">
              <w:rPr>
                <w:rFonts w:asciiTheme="minorHAnsi" w:hAnsiTheme="minorHAnsi" w:cstheme="minorHAnsi"/>
              </w:rPr>
              <w:t>POLICY</w:t>
            </w:r>
          </w:p>
          <w:p w:rsidR="00B96D09" w:rsidRPr="00C157EF" w:rsidRDefault="00B96D09">
            <w:pPr>
              <w:rPr>
                <w:rFonts w:asciiTheme="minorHAnsi" w:hAnsiTheme="minorHAnsi" w:cstheme="minorHAnsi"/>
                <w:b/>
              </w:rPr>
            </w:pPr>
          </w:p>
          <w:p w:rsidR="00B96D09" w:rsidRPr="00C157EF" w:rsidRDefault="00B96D09" w:rsidP="00B96D09">
            <w:pPr>
              <w:spacing w:after="288"/>
              <w:rPr>
                <w:rFonts w:asciiTheme="minorHAnsi" w:hAnsiTheme="minorHAnsi" w:cstheme="minorHAnsi"/>
              </w:rPr>
            </w:pPr>
            <w:r w:rsidRPr="00C157EF">
              <w:rPr>
                <w:rFonts w:asciiTheme="minorHAnsi" w:hAnsiTheme="minorHAnsi" w:cstheme="minorHAnsi"/>
              </w:rPr>
              <w:t>Our facility strives to ensure that residents who are trauma survivors receive culturally competent, trauma-informed care in accordance with professional standards of practice and accounting for resident’s experiences and preferences in order to eliminate or mitigat</w:t>
            </w:r>
            <w:r w:rsidR="00C157EF" w:rsidRPr="00C157EF">
              <w:rPr>
                <w:rFonts w:asciiTheme="minorHAnsi" w:hAnsiTheme="minorHAnsi" w:cstheme="minorHAnsi"/>
              </w:rPr>
              <w:t>e triggers that may cause re-tr</w:t>
            </w:r>
            <w:r w:rsidRPr="00C157EF">
              <w:rPr>
                <w:rFonts w:asciiTheme="minorHAnsi" w:hAnsiTheme="minorHAnsi" w:cstheme="minorHAnsi"/>
              </w:rPr>
              <w:t>a</w:t>
            </w:r>
            <w:r w:rsidR="00C157EF" w:rsidRPr="00C157EF">
              <w:rPr>
                <w:rFonts w:asciiTheme="minorHAnsi" w:hAnsiTheme="minorHAnsi" w:cstheme="minorHAnsi"/>
              </w:rPr>
              <w:t>u</w:t>
            </w:r>
            <w:r w:rsidRPr="00C157EF">
              <w:rPr>
                <w:rFonts w:asciiTheme="minorHAnsi" w:hAnsiTheme="minorHAnsi" w:cstheme="minorHAnsi"/>
              </w:rPr>
              <w:t>matization of the resident.</w:t>
            </w:r>
          </w:p>
          <w:p w:rsidR="00B96D09" w:rsidRPr="00C157EF" w:rsidRDefault="00B96D09" w:rsidP="00B96D09">
            <w:pPr>
              <w:spacing w:after="288"/>
              <w:rPr>
                <w:rFonts w:asciiTheme="minorHAnsi" w:hAnsiTheme="minorHAnsi" w:cstheme="minorHAnsi"/>
              </w:rPr>
            </w:pPr>
            <w:r w:rsidRPr="00C157EF">
              <w:rPr>
                <w:rFonts w:asciiTheme="minorHAnsi" w:hAnsiTheme="minorHAnsi" w:cstheme="minorHAnsi"/>
              </w:rPr>
              <w:t>Trauma-informed care is not a therapy, intervention, or specific action. It is an approach to engaging people with histories of trauma that recognizes the presence of trauma symptoms and acknowledges the role that trauma has played in their lives. Trauma is extreme stress that overwhelms a person's ability to cope. It can be an event, a series of events, or set of circumstances that harms a person's physical or emotional well-being.</w:t>
            </w:r>
          </w:p>
          <w:p w:rsidR="00B96D09" w:rsidRPr="00C157EF" w:rsidRDefault="00B96D09" w:rsidP="00B96D09">
            <w:pPr>
              <w:spacing w:before="100" w:beforeAutospacing="1" w:after="100" w:afterAutospacing="1" w:line="288" w:lineRule="atLeast"/>
              <w:outlineLvl w:val="2"/>
              <w:rPr>
                <w:rFonts w:asciiTheme="minorHAnsi" w:hAnsiTheme="minorHAnsi" w:cstheme="minorHAnsi"/>
              </w:rPr>
            </w:pPr>
            <w:r w:rsidRPr="00C157EF">
              <w:rPr>
                <w:rFonts w:asciiTheme="minorHAnsi" w:hAnsiTheme="minorHAnsi" w:cstheme="minorHAnsi"/>
              </w:rPr>
              <w:t>The Four "R"</w:t>
            </w:r>
            <w:proofErr w:type="spellStart"/>
            <w:r w:rsidRPr="00C157EF">
              <w:rPr>
                <w:rFonts w:asciiTheme="minorHAnsi" w:hAnsiTheme="minorHAnsi" w:cstheme="minorHAnsi"/>
              </w:rPr>
              <w:t>s</w:t>
            </w:r>
            <w:proofErr w:type="spellEnd"/>
            <w:r w:rsidRPr="00C157EF">
              <w:rPr>
                <w:rFonts w:asciiTheme="minorHAnsi" w:hAnsiTheme="minorHAnsi" w:cstheme="minorHAnsi"/>
              </w:rPr>
              <w:t xml:space="preserve"> of Trauma-Informed Care</w:t>
            </w:r>
          </w:p>
          <w:p w:rsidR="00B96D09" w:rsidRPr="00C157EF" w:rsidRDefault="00B96D09" w:rsidP="00B96D09">
            <w:pPr>
              <w:spacing w:after="288"/>
              <w:rPr>
                <w:rFonts w:asciiTheme="minorHAnsi" w:hAnsiTheme="minorHAnsi" w:cstheme="minorHAnsi"/>
              </w:rPr>
            </w:pPr>
            <w:r w:rsidRPr="00C157EF">
              <w:rPr>
                <w:rFonts w:asciiTheme="minorHAnsi" w:hAnsiTheme="minorHAnsi" w:cstheme="minorHAnsi"/>
              </w:rPr>
              <w:t>There are four elements of a trauma-informed approach.</w:t>
            </w:r>
          </w:p>
          <w:p w:rsidR="00B96D09" w:rsidRPr="00C157EF" w:rsidRDefault="00B96D09" w:rsidP="00C157EF">
            <w:pPr>
              <w:spacing w:line="288" w:lineRule="atLeast"/>
              <w:rPr>
                <w:rFonts w:asciiTheme="minorHAnsi" w:hAnsiTheme="minorHAnsi" w:cstheme="minorHAnsi"/>
              </w:rPr>
            </w:pPr>
            <w:hyperlink r:id="rId5" w:anchor="realizing-the-prevalence-of-trauma" w:history="1">
              <w:r w:rsidRPr="00C157EF">
                <w:rPr>
                  <w:rFonts w:asciiTheme="minorHAnsi" w:hAnsiTheme="minorHAnsi" w:cstheme="minorHAnsi"/>
                  <w:b/>
                  <w:bCs/>
                </w:rPr>
                <w:t>Realizing the prevalence of trauma</w:t>
              </w:r>
            </w:hyperlink>
          </w:p>
          <w:p w:rsidR="00B96D09" w:rsidRPr="00C157EF" w:rsidRDefault="00B96D09" w:rsidP="00C157EF">
            <w:pPr>
              <w:spacing w:line="288" w:lineRule="atLeast"/>
              <w:rPr>
                <w:rFonts w:asciiTheme="minorHAnsi" w:hAnsiTheme="minorHAnsi" w:cstheme="minorHAnsi"/>
              </w:rPr>
            </w:pPr>
            <w:hyperlink r:id="rId6" w:anchor="recognizing-how-trauma-affects-individuals" w:history="1">
              <w:r w:rsidRPr="00C157EF">
                <w:rPr>
                  <w:rFonts w:asciiTheme="minorHAnsi" w:hAnsiTheme="minorHAnsi" w:cstheme="minorHAnsi"/>
                  <w:b/>
                  <w:bCs/>
                </w:rPr>
                <w:t>Recognizing how trauma affects individuals</w:t>
              </w:r>
            </w:hyperlink>
          </w:p>
          <w:p w:rsidR="00B96D09" w:rsidRPr="00C157EF" w:rsidRDefault="00B96D09" w:rsidP="00C157EF">
            <w:pPr>
              <w:spacing w:line="288" w:lineRule="atLeast"/>
              <w:rPr>
                <w:rFonts w:asciiTheme="minorHAnsi" w:hAnsiTheme="minorHAnsi" w:cstheme="minorHAnsi"/>
              </w:rPr>
            </w:pPr>
            <w:hyperlink r:id="rId7" w:anchor="responding-by-putting-this-knowledge-into-practice" w:history="1">
              <w:r w:rsidRPr="00C157EF">
                <w:rPr>
                  <w:rFonts w:asciiTheme="minorHAnsi" w:hAnsiTheme="minorHAnsi" w:cstheme="minorHAnsi"/>
                  <w:b/>
                  <w:bCs/>
                </w:rPr>
                <w:t>Responding by putting this knowledge into practice</w:t>
              </w:r>
            </w:hyperlink>
          </w:p>
          <w:p w:rsidR="00B96D09" w:rsidRPr="00C157EF" w:rsidRDefault="00B96D09" w:rsidP="00C157EF">
            <w:pPr>
              <w:spacing w:line="288" w:lineRule="atLeast"/>
              <w:rPr>
                <w:rFonts w:asciiTheme="minorHAnsi" w:hAnsiTheme="minorHAnsi" w:cstheme="minorHAnsi"/>
              </w:rPr>
            </w:pPr>
            <w:hyperlink r:id="rId8" w:anchor="resisting-retraumatization" w:history="1">
              <w:r w:rsidRPr="00C157EF">
                <w:rPr>
                  <w:rFonts w:asciiTheme="minorHAnsi" w:hAnsiTheme="minorHAnsi" w:cstheme="minorHAnsi"/>
                  <w:b/>
                  <w:bCs/>
                </w:rPr>
                <w:t>Resisting re</w:t>
              </w:r>
              <w:r w:rsidR="00C157EF">
                <w:rPr>
                  <w:rFonts w:asciiTheme="minorHAnsi" w:hAnsiTheme="minorHAnsi" w:cstheme="minorHAnsi"/>
                  <w:b/>
                  <w:bCs/>
                </w:rPr>
                <w:t>-</w:t>
              </w:r>
              <w:r w:rsidRPr="00C157EF">
                <w:rPr>
                  <w:rFonts w:asciiTheme="minorHAnsi" w:hAnsiTheme="minorHAnsi" w:cstheme="minorHAnsi"/>
                  <w:b/>
                  <w:bCs/>
                </w:rPr>
                <w:t>traumatization</w:t>
              </w:r>
            </w:hyperlink>
          </w:p>
          <w:p w:rsidR="00B731B7" w:rsidRPr="00C157EF" w:rsidRDefault="00B731B7">
            <w:pPr>
              <w:rPr>
                <w:rFonts w:asciiTheme="minorHAnsi" w:hAnsiTheme="minorHAnsi" w:cstheme="minorHAnsi"/>
              </w:rPr>
            </w:pPr>
          </w:p>
          <w:p w:rsidR="00B731B7" w:rsidRDefault="00B96D09">
            <w:pPr>
              <w:rPr>
                <w:rFonts w:asciiTheme="minorHAnsi" w:hAnsiTheme="minorHAnsi" w:cstheme="minorHAnsi"/>
              </w:rPr>
            </w:pPr>
            <w:r w:rsidRPr="00C157EF">
              <w:rPr>
                <w:rFonts w:asciiTheme="minorHAnsi" w:hAnsiTheme="minorHAnsi" w:cstheme="minorHAnsi"/>
              </w:rPr>
              <w:t>PROCEDURE</w:t>
            </w:r>
          </w:p>
          <w:p w:rsidR="00C157EF" w:rsidRPr="00C157EF" w:rsidRDefault="00C157EF">
            <w:pPr>
              <w:rPr>
                <w:rFonts w:asciiTheme="minorHAnsi" w:hAnsiTheme="minorHAnsi" w:cstheme="minorHAnsi"/>
              </w:rPr>
            </w:pPr>
          </w:p>
          <w:p w:rsidR="00B96D09" w:rsidRPr="00C157EF" w:rsidRDefault="00B96D09" w:rsidP="00B96D09">
            <w:pPr>
              <w:numPr>
                <w:ilvl w:val="0"/>
                <w:numId w:val="3"/>
              </w:numPr>
              <w:rPr>
                <w:rFonts w:asciiTheme="minorHAnsi" w:hAnsiTheme="minorHAnsi" w:cstheme="minorHAnsi"/>
              </w:rPr>
            </w:pPr>
            <w:r w:rsidRPr="00C157EF">
              <w:rPr>
                <w:rFonts w:asciiTheme="minorHAnsi" w:hAnsiTheme="minorHAnsi" w:cstheme="minorHAnsi"/>
              </w:rPr>
              <w:t xml:space="preserve"> Upon admission t</w:t>
            </w:r>
            <w:r w:rsidR="00AE3D3C" w:rsidRPr="00C157EF">
              <w:rPr>
                <w:rFonts w:asciiTheme="minorHAnsi" w:hAnsiTheme="minorHAnsi" w:cstheme="minorHAnsi"/>
              </w:rPr>
              <w:t>o t</w:t>
            </w:r>
            <w:r w:rsidRPr="00C157EF">
              <w:rPr>
                <w:rFonts w:asciiTheme="minorHAnsi" w:hAnsiTheme="minorHAnsi" w:cstheme="minorHAnsi"/>
              </w:rPr>
              <w:t>he facility</w:t>
            </w:r>
            <w:r w:rsidR="00AE3D3C" w:rsidRPr="00C157EF">
              <w:rPr>
                <w:rFonts w:asciiTheme="minorHAnsi" w:hAnsiTheme="minorHAnsi" w:cstheme="minorHAnsi"/>
              </w:rPr>
              <w:t xml:space="preserve">, </w:t>
            </w:r>
            <w:r w:rsidRPr="00C157EF">
              <w:rPr>
                <w:rFonts w:asciiTheme="minorHAnsi" w:hAnsiTheme="minorHAnsi" w:cstheme="minorHAnsi"/>
              </w:rPr>
              <w:t>residents or their Power of Attorney will ask if the resident has ex</w:t>
            </w:r>
            <w:r w:rsidR="00C157EF">
              <w:rPr>
                <w:rFonts w:asciiTheme="minorHAnsi" w:hAnsiTheme="minorHAnsi" w:cstheme="minorHAnsi"/>
              </w:rPr>
              <w:t>perienced any trauma which may a</w:t>
            </w:r>
            <w:r w:rsidRPr="00C157EF">
              <w:rPr>
                <w:rFonts w:asciiTheme="minorHAnsi" w:hAnsiTheme="minorHAnsi" w:cstheme="minorHAnsi"/>
              </w:rPr>
              <w:t xml:space="preserve">ffect their emotional or physical wellbeing. </w:t>
            </w:r>
          </w:p>
          <w:p w:rsidR="00B96D09" w:rsidRPr="00C157EF" w:rsidRDefault="00B96D09" w:rsidP="00B96D09">
            <w:pPr>
              <w:numPr>
                <w:ilvl w:val="0"/>
                <w:numId w:val="3"/>
              </w:numPr>
              <w:rPr>
                <w:rFonts w:asciiTheme="minorHAnsi" w:hAnsiTheme="minorHAnsi" w:cstheme="minorHAnsi"/>
              </w:rPr>
            </w:pPr>
            <w:r w:rsidRPr="00C157EF">
              <w:rPr>
                <w:rFonts w:asciiTheme="minorHAnsi" w:hAnsiTheme="minorHAnsi" w:cstheme="minorHAnsi"/>
              </w:rPr>
              <w:t>A care plan will be developed, addressing the history of trauma.  The care</w:t>
            </w:r>
            <w:r w:rsidR="00C157EF">
              <w:rPr>
                <w:rFonts w:asciiTheme="minorHAnsi" w:hAnsiTheme="minorHAnsi" w:cstheme="minorHAnsi"/>
              </w:rPr>
              <w:t xml:space="preserve"> </w:t>
            </w:r>
            <w:r w:rsidRPr="00C157EF">
              <w:rPr>
                <w:rFonts w:asciiTheme="minorHAnsi" w:hAnsiTheme="minorHAnsi" w:cstheme="minorHAnsi"/>
              </w:rPr>
              <w:t xml:space="preserve">plan team will develop </w:t>
            </w:r>
            <w:r w:rsidR="00AE3D3C" w:rsidRPr="00C157EF">
              <w:rPr>
                <w:rFonts w:asciiTheme="minorHAnsi" w:hAnsiTheme="minorHAnsi" w:cstheme="minorHAnsi"/>
              </w:rPr>
              <w:t>what may trigger them to re-live the trauma experienced (such as:  resident was in combat and loud noises will trigger resident to fall to the floor).</w:t>
            </w:r>
          </w:p>
          <w:p w:rsidR="00AE3D3C" w:rsidRPr="00C157EF" w:rsidRDefault="00AE3D3C" w:rsidP="00B96D09">
            <w:pPr>
              <w:numPr>
                <w:ilvl w:val="0"/>
                <w:numId w:val="3"/>
              </w:numPr>
              <w:rPr>
                <w:rFonts w:asciiTheme="minorHAnsi" w:hAnsiTheme="minorHAnsi" w:cstheme="minorHAnsi"/>
              </w:rPr>
            </w:pPr>
            <w:r w:rsidRPr="00C157EF">
              <w:rPr>
                <w:rFonts w:asciiTheme="minorHAnsi" w:hAnsiTheme="minorHAnsi" w:cstheme="minorHAnsi"/>
              </w:rPr>
              <w:t>The activities department staff will be aware of the trauma inducing memory and ensure activit</w:t>
            </w:r>
            <w:r w:rsidR="00C157EF">
              <w:rPr>
                <w:rFonts w:asciiTheme="minorHAnsi" w:hAnsiTheme="minorHAnsi" w:cstheme="minorHAnsi"/>
              </w:rPr>
              <w:t>i</w:t>
            </w:r>
            <w:r w:rsidRPr="00C157EF">
              <w:rPr>
                <w:rFonts w:asciiTheme="minorHAnsi" w:hAnsiTheme="minorHAnsi" w:cstheme="minorHAnsi"/>
              </w:rPr>
              <w:t xml:space="preserve">es the resident attends </w:t>
            </w:r>
            <w:r w:rsidR="00A94AD4" w:rsidRPr="00C157EF">
              <w:rPr>
                <w:rFonts w:asciiTheme="minorHAnsi" w:hAnsiTheme="minorHAnsi" w:cstheme="minorHAnsi"/>
              </w:rPr>
              <w:t>are</w:t>
            </w:r>
            <w:r w:rsidRPr="00C157EF">
              <w:rPr>
                <w:rFonts w:asciiTheme="minorHAnsi" w:hAnsiTheme="minorHAnsi" w:cstheme="minorHAnsi"/>
              </w:rPr>
              <w:t xml:space="preserve"> sensitive </w:t>
            </w:r>
            <w:r w:rsidR="00A94AD4" w:rsidRPr="00C157EF">
              <w:rPr>
                <w:rFonts w:asciiTheme="minorHAnsi" w:hAnsiTheme="minorHAnsi" w:cstheme="minorHAnsi"/>
              </w:rPr>
              <w:t>to particular triggers that may induce emotional or physical symptoms.</w:t>
            </w:r>
          </w:p>
          <w:p w:rsidR="00AE3D3C" w:rsidRPr="00C157EF" w:rsidRDefault="00AE3D3C" w:rsidP="00B96D09">
            <w:pPr>
              <w:numPr>
                <w:ilvl w:val="0"/>
                <w:numId w:val="3"/>
              </w:numPr>
              <w:rPr>
                <w:rFonts w:asciiTheme="minorHAnsi" w:hAnsiTheme="minorHAnsi" w:cstheme="minorHAnsi"/>
              </w:rPr>
            </w:pPr>
            <w:r w:rsidRPr="00C157EF">
              <w:rPr>
                <w:rFonts w:asciiTheme="minorHAnsi" w:hAnsiTheme="minorHAnsi" w:cstheme="minorHAnsi"/>
              </w:rPr>
              <w:t>All care staff will be notified of triggers which may cause the resident to have physical or emotional symptoms related to the past trauma.</w:t>
            </w:r>
          </w:p>
          <w:p w:rsidR="00B731B7" w:rsidRPr="00C157EF" w:rsidRDefault="00B731B7">
            <w:pPr>
              <w:rPr>
                <w:rFonts w:asciiTheme="minorHAnsi" w:hAnsiTheme="minorHAnsi" w:cstheme="minorHAnsi"/>
              </w:rPr>
            </w:pPr>
          </w:p>
          <w:p w:rsidR="00FA1D3E" w:rsidRDefault="00FA1D3E"/>
          <w:p w:rsidR="00FA1D3E" w:rsidRDefault="00FA1D3E">
            <w:bookmarkStart w:id="0" w:name="_GoBack"/>
            <w:bookmarkEnd w:id="0"/>
          </w:p>
          <w:p w:rsidR="00FA1D3E" w:rsidRDefault="00FA1D3E"/>
          <w:p w:rsidR="00FA1D3E" w:rsidRDefault="00FA1D3E"/>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B731B7"/>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9A2B09"/>
    <w:multiLevelType w:val="hybridMultilevel"/>
    <w:tmpl w:val="13CE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64704B"/>
    <w:rsid w:val="00870082"/>
    <w:rsid w:val="00902B38"/>
    <w:rsid w:val="009160F4"/>
    <w:rsid w:val="00A94AD4"/>
    <w:rsid w:val="00AE3D3C"/>
    <w:rsid w:val="00B731B7"/>
    <w:rsid w:val="00B96D09"/>
    <w:rsid w:val="00C157EF"/>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1817"/>
  <w15:chartTrackingRefBased/>
  <w15:docId w15:val="{D2554303-8BF2-4A44-998B-E0C593E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 w:id="2088454889">
      <w:bodyDiv w:val="1"/>
      <w:marLeft w:val="0"/>
      <w:marRight w:val="0"/>
      <w:marTop w:val="0"/>
      <w:marBottom w:val="0"/>
      <w:divBdr>
        <w:top w:val="none" w:sz="0" w:space="0" w:color="auto"/>
        <w:left w:val="none" w:sz="0" w:space="0" w:color="auto"/>
        <w:bottom w:val="none" w:sz="0" w:space="0" w:color="auto"/>
        <w:right w:val="none" w:sz="0" w:space="0" w:color="auto"/>
      </w:divBdr>
      <w:divsChild>
        <w:div w:id="873496174">
          <w:marLeft w:val="0"/>
          <w:marRight w:val="0"/>
          <w:marTop w:val="0"/>
          <w:marBottom w:val="0"/>
          <w:divBdr>
            <w:top w:val="none" w:sz="0" w:space="0" w:color="auto"/>
            <w:left w:val="none" w:sz="0" w:space="0" w:color="auto"/>
            <w:bottom w:val="none" w:sz="0" w:space="0" w:color="auto"/>
            <w:right w:val="none" w:sz="0" w:space="0" w:color="auto"/>
          </w:divBdr>
          <w:divsChild>
            <w:div w:id="50202833">
              <w:marLeft w:val="0"/>
              <w:marRight w:val="0"/>
              <w:marTop w:val="0"/>
              <w:marBottom w:val="30"/>
              <w:divBdr>
                <w:top w:val="single" w:sz="6" w:space="8" w:color="D3D3D3"/>
                <w:left w:val="single" w:sz="6" w:space="8" w:color="D3D3D3"/>
                <w:bottom w:val="single" w:sz="6" w:space="8" w:color="D3D3D3"/>
                <w:right w:val="single" w:sz="6" w:space="31" w:color="D3D3D3"/>
              </w:divBdr>
            </w:div>
            <w:div w:id="359165901">
              <w:marLeft w:val="0"/>
              <w:marRight w:val="0"/>
              <w:marTop w:val="0"/>
              <w:marBottom w:val="30"/>
              <w:divBdr>
                <w:top w:val="single" w:sz="6" w:space="8" w:color="D3D3D3"/>
                <w:left w:val="single" w:sz="6" w:space="8" w:color="D3D3D3"/>
                <w:bottom w:val="single" w:sz="6" w:space="8" w:color="D3D3D3"/>
                <w:right w:val="single" w:sz="6" w:space="31" w:color="D3D3D3"/>
              </w:divBdr>
            </w:div>
            <w:div w:id="1026952473">
              <w:marLeft w:val="0"/>
              <w:marRight w:val="0"/>
              <w:marTop w:val="0"/>
              <w:marBottom w:val="30"/>
              <w:divBdr>
                <w:top w:val="single" w:sz="6" w:space="8" w:color="D3D3D3"/>
                <w:left w:val="single" w:sz="6" w:space="8" w:color="D3D3D3"/>
                <w:bottom w:val="single" w:sz="6" w:space="8" w:color="D3D3D3"/>
                <w:right w:val="single" w:sz="6" w:space="31" w:color="D3D3D3"/>
              </w:divBdr>
            </w:div>
            <w:div w:id="1119451576">
              <w:marLeft w:val="0"/>
              <w:marRight w:val="0"/>
              <w:marTop w:val="0"/>
              <w:marBottom w:val="30"/>
              <w:divBdr>
                <w:top w:val="single" w:sz="6" w:space="8" w:color="D3D3D3"/>
                <w:left w:val="single" w:sz="6" w:space="8" w:color="D3D3D3"/>
                <w:bottom w:val="single" w:sz="6" w:space="8" w:color="D3D3D3"/>
                <w:right w:val="single" w:sz="6" w:space="31" w:color="D3D3D3"/>
              </w:divBdr>
            </w:div>
          </w:divsChild>
        </w:div>
        <w:div w:id="1938974684">
          <w:marLeft w:val="0"/>
          <w:marRight w:val="0"/>
          <w:marTop w:val="0"/>
          <w:marBottom w:val="0"/>
          <w:divBdr>
            <w:top w:val="single" w:sz="12" w:space="11" w:color="EEEEEE"/>
            <w:left w:val="single" w:sz="12" w:space="11" w:color="EEEEEE"/>
            <w:bottom w:val="single" w:sz="12" w:space="11" w:color="EEEEEE"/>
            <w:right w:val="single" w:sz="12" w:space="11" w:color="EEEEEE"/>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tic/index.htm" TargetMode="External"/><Relationship Id="rId3" Type="http://schemas.openxmlformats.org/officeDocument/2006/relationships/settings" Target="settings.xml"/><Relationship Id="rId7" Type="http://schemas.openxmlformats.org/officeDocument/2006/relationships/hyperlink" Target="https://www.dhs.wisconsin.gov/tic/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tic/index.htm" TargetMode="External"/><Relationship Id="rId5" Type="http://schemas.openxmlformats.org/officeDocument/2006/relationships/hyperlink" Target="https://www.dhs.wisconsin.gov/tic/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2371</CharactersWithSpaces>
  <SharedDoc>false</SharedDoc>
  <HLinks>
    <vt:vector size="24" baseType="variant">
      <vt:variant>
        <vt:i4>5046324</vt:i4>
      </vt:variant>
      <vt:variant>
        <vt:i4>9</vt:i4>
      </vt:variant>
      <vt:variant>
        <vt:i4>0</vt:i4>
      </vt:variant>
      <vt:variant>
        <vt:i4>5</vt:i4>
      </vt:variant>
      <vt:variant>
        <vt:lpwstr>https://www.dhs.wisconsin.gov/tic/index.htm</vt:lpwstr>
      </vt:variant>
      <vt:variant>
        <vt:lpwstr>resisting-retraumatization</vt:lpwstr>
      </vt:variant>
      <vt:variant>
        <vt:i4>6094956</vt:i4>
      </vt:variant>
      <vt:variant>
        <vt:i4>6</vt:i4>
      </vt:variant>
      <vt:variant>
        <vt:i4>0</vt:i4>
      </vt:variant>
      <vt:variant>
        <vt:i4>5</vt:i4>
      </vt:variant>
      <vt:variant>
        <vt:lpwstr>https://www.dhs.wisconsin.gov/tic/index.htm</vt:lpwstr>
      </vt:variant>
      <vt:variant>
        <vt:lpwstr>responding-by-putting-this-knowledge-into-practice</vt:lpwstr>
      </vt:variant>
      <vt:variant>
        <vt:i4>1638433</vt:i4>
      </vt:variant>
      <vt:variant>
        <vt:i4>3</vt:i4>
      </vt:variant>
      <vt:variant>
        <vt:i4>0</vt:i4>
      </vt:variant>
      <vt:variant>
        <vt:i4>5</vt:i4>
      </vt:variant>
      <vt:variant>
        <vt:lpwstr>https://www.dhs.wisconsin.gov/tic/index.htm</vt:lpwstr>
      </vt:variant>
      <vt:variant>
        <vt:lpwstr>recognizing-how-trauma-affects-individuals</vt:lpwstr>
      </vt:variant>
      <vt:variant>
        <vt:i4>4718707</vt:i4>
      </vt:variant>
      <vt:variant>
        <vt:i4>0</vt:i4>
      </vt:variant>
      <vt:variant>
        <vt:i4>0</vt:i4>
      </vt:variant>
      <vt:variant>
        <vt:i4>5</vt:i4>
      </vt:variant>
      <vt:variant>
        <vt:lpwstr>https://www.dhs.wisconsin.gov/tic/index.htm</vt:lpwstr>
      </vt:variant>
      <vt:variant>
        <vt:lpwstr>realizing-the-prevalence-of-trauma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Colleen</cp:lastModifiedBy>
  <cp:revision>2</cp:revision>
  <cp:lastPrinted>2018-10-16T18:13:00Z</cp:lastPrinted>
  <dcterms:created xsi:type="dcterms:W3CDTF">2019-05-23T18:18:00Z</dcterms:created>
  <dcterms:modified xsi:type="dcterms:W3CDTF">2019-05-23T18:18:00Z</dcterms:modified>
</cp:coreProperties>
</file>