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8A6FC0" w:rsidRDefault="00487AAD" w:rsidP="00487AAD">
            <w:pPr>
              <w:pStyle w:val="ListParagraph"/>
            </w:pPr>
            <w:r>
              <w:t xml:space="preserve"> </w:t>
            </w:r>
            <w:r w:rsidR="00FC6D52">
              <w:t xml:space="preserve"> </w:t>
            </w:r>
            <w:r w:rsidR="00BC5BF6">
              <w:t xml:space="preserve"> </w:t>
            </w:r>
            <w:r w:rsidR="001F4527">
              <w:t xml:space="preserve">    </w:t>
            </w:r>
            <w:r w:rsidR="008A6FC0">
              <w:t>Short-Acting Benzodiazepine or</w:t>
            </w:r>
          </w:p>
          <w:p w:rsidR="00FC6D52" w:rsidRDefault="008A6FC0" w:rsidP="008A6FC0">
            <w:r>
              <w:t xml:space="preserve">                        Other Anxiolytic/Sedative Drugs  </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8A6FC0" w:rsidRDefault="008A6FC0" w:rsidP="008A6FC0">
            <w:r>
              <w:t>PURPOSE:</w:t>
            </w:r>
          </w:p>
          <w:p w:rsidR="008A6FC0" w:rsidRDefault="008A6FC0" w:rsidP="008A6FC0">
            <w:r>
              <w:t>To provide guidelines relating to the use of Short-Acting Benzodiazepine or other Anxiolytic/Sedative Drugs.</w:t>
            </w:r>
          </w:p>
          <w:p w:rsidR="008A6FC0" w:rsidRDefault="008A6FC0" w:rsidP="008A6FC0"/>
          <w:p w:rsidR="008A6FC0" w:rsidRDefault="008A6FC0" w:rsidP="008A6FC0">
            <w:r>
              <w:t>STATEMENT OF POLICY:</w:t>
            </w:r>
          </w:p>
          <w:p w:rsidR="008A6FC0" w:rsidRDefault="008A6FC0" w:rsidP="008A6FC0">
            <w:r>
              <w:t>It is the policy of this facility that short-acting benzodiazepine or other anxiolytic/sedative drugs will only be used for residents when appropriate clinical conditions are observed and documented.</w:t>
            </w:r>
          </w:p>
          <w:p w:rsidR="008A6FC0" w:rsidRDefault="008A6FC0" w:rsidP="008A6FC0"/>
          <w:p w:rsidR="008A6FC0" w:rsidRDefault="008A6FC0" w:rsidP="008A6FC0">
            <w:r>
              <w:t>PRODEDURE:</w:t>
            </w:r>
          </w:p>
          <w:p w:rsidR="008A6FC0" w:rsidRDefault="008A6FC0" w:rsidP="008A6FC0">
            <w:pPr>
              <w:numPr>
                <w:ilvl w:val="0"/>
                <w:numId w:val="26"/>
              </w:numPr>
            </w:pPr>
            <w:r>
              <w:t>Procedure for evaluating the use of short-acting benzodiazepine or other anxiolytic/sedative drugs.</w:t>
            </w:r>
          </w:p>
          <w:p w:rsidR="008A6FC0" w:rsidRDefault="008A6FC0" w:rsidP="008A6FC0">
            <w:pPr>
              <w:numPr>
                <w:ilvl w:val="0"/>
                <w:numId w:val="27"/>
              </w:numPr>
            </w:pPr>
            <w:r>
              <w:t>A short-acting benzodiazepine or other anxiolytic/sedative drug should be used for purposes other than sleep induction only when:</w:t>
            </w:r>
          </w:p>
          <w:p w:rsidR="008A6FC0" w:rsidRDefault="008A6FC0" w:rsidP="008A6FC0">
            <w:pPr>
              <w:numPr>
                <w:ilvl w:val="0"/>
                <w:numId w:val="28"/>
              </w:numPr>
            </w:pPr>
            <w:r>
              <w:t>Evidence exists that other possible reasons for the resident’s distress have been considered and ruled out.</w:t>
            </w:r>
          </w:p>
          <w:p w:rsidR="008A6FC0" w:rsidRDefault="008A6FC0" w:rsidP="008A6FC0">
            <w:pPr>
              <w:numPr>
                <w:ilvl w:val="0"/>
                <w:numId w:val="28"/>
              </w:numPr>
            </w:pPr>
            <w:r>
              <w:t>Its use results in maintenance or improvement in the resident’s functional status.</w:t>
            </w:r>
          </w:p>
          <w:p w:rsidR="008A6FC0" w:rsidRDefault="008A6FC0" w:rsidP="008A6FC0">
            <w:pPr>
              <w:numPr>
                <w:ilvl w:val="0"/>
                <w:numId w:val="28"/>
              </w:numPr>
            </w:pPr>
            <w:r>
              <w:t>Daily use is less than four continuous months unless an attempt at a gradual dose reduction is unsuccessful.</w:t>
            </w:r>
          </w:p>
          <w:p w:rsidR="008A6FC0" w:rsidRDefault="008A6FC0" w:rsidP="008A6FC0">
            <w:pPr>
              <w:numPr>
                <w:ilvl w:val="0"/>
                <w:numId w:val="28"/>
              </w:numPr>
            </w:pPr>
            <w:r>
              <w:t>Use is for one of the following indications:</w:t>
            </w:r>
          </w:p>
          <w:p w:rsidR="008A6FC0" w:rsidRDefault="008A6FC0" w:rsidP="008A6FC0">
            <w:pPr>
              <w:numPr>
                <w:ilvl w:val="0"/>
                <w:numId w:val="29"/>
              </w:numPr>
            </w:pPr>
            <w:r>
              <w:t>Generalized anxiety disorder.</w:t>
            </w:r>
          </w:p>
          <w:p w:rsidR="008A6FC0" w:rsidRDefault="008A6FC0" w:rsidP="008A6FC0">
            <w:pPr>
              <w:numPr>
                <w:ilvl w:val="0"/>
                <w:numId w:val="29"/>
              </w:numPr>
            </w:pPr>
            <w:r>
              <w:t>Organic mental syndromes (now called “delirium, dementia, amnestic and other cognitive disorders”) with associated agitated behaviors; which are quantitatively and objectively documented, persistent, not due to preventable reasons, constituted a source of distress or dysfunction, or represent a danger to the resident and/or others.</w:t>
            </w:r>
          </w:p>
          <w:p w:rsidR="008A6FC0" w:rsidRDefault="008A6FC0" w:rsidP="008A6FC0">
            <w:pPr>
              <w:numPr>
                <w:ilvl w:val="0"/>
                <w:numId w:val="29"/>
              </w:numPr>
            </w:pPr>
            <w:r>
              <w:t>Panic disorder.</w:t>
            </w:r>
          </w:p>
          <w:p w:rsidR="008A6FC0" w:rsidRDefault="008A6FC0" w:rsidP="008A6FC0">
            <w:pPr>
              <w:numPr>
                <w:ilvl w:val="0"/>
                <w:numId w:val="29"/>
              </w:numPr>
            </w:pPr>
            <w:r>
              <w:t>Symptomatic anxiety that occurs in residents with another diagnosed psychiatric disorder.</w:t>
            </w:r>
          </w:p>
          <w:p w:rsidR="008A6FC0" w:rsidRDefault="008A6FC0" w:rsidP="008A6FC0">
            <w:pPr>
              <w:numPr>
                <w:ilvl w:val="0"/>
                <w:numId w:val="29"/>
              </w:numPr>
            </w:pPr>
            <w:r>
              <w:t>Its use is equal to or less than the following listed total daily doses, unless higher doses (as evidenced by the resident response and/or the resident’s clinical record) are necessary for the improvement or maintenance in the resident’s functional status.</w:t>
            </w:r>
          </w:p>
          <w:p w:rsidR="008A6FC0" w:rsidRDefault="008A6FC0" w:rsidP="008A6FC0"/>
          <w:p w:rsidR="008A6FC0" w:rsidRDefault="008A6FC0" w:rsidP="008A6FC0"/>
          <w:p w:rsidR="008A6FC0" w:rsidRDefault="008A6FC0" w:rsidP="008A6FC0"/>
          <w:p w:rsidR="008A6FC0" w:rsidRPr="001E16FF" w:rsidRDefault="008A6FC0" w:rsidP="008A6FC0">
            <w:pPr>
              <w:rPr>
                <w:u w:val="single"/>
              </w:rPr>
            </w:pPr>
            <w:r w:rsidRPr="001E16FF">
              <w:rPr>
                <w:u w:val="single"/>
              </w:rPr>
              <w:t>Short-Acting Benzodiazepines</w:t>
            </w:r>
          </w:p>
          <w:p w:rsidR="008A6FC0" w:rsidRDefault="008A6FC0" w:rsidP="008A6FC0">
            <w:r>
              <w:t xml:space="preserve">             GENERIC                                                BRAND                                         DAILY ORAL DOSE</w:t>
            </w:r>
          </w:p>
          <w:p w:rsidR="008A6FC0" w:rsidRDefault="008A6FC0" w:rsidP="008A6FC0">
            <w:r>
              <w:t xml:space="preserve">             Lorazepam                                               (Ativan)                                                          2 mg.</w:t>
            </w:r>
          </w:p>
          <w:p w:rsidR="008A6FC0" w:rsidRDefault="008A6FC0" w:rsidP="008A6FC0">
            <w:r>
              <w:t xml:space="preserve">             Oxazepam                                                (Serax)                                                         30. mg</w:t>
            </w:r>
          </w:p>
          <w:p w:rsidR="008A6FC0" w:rsidRDefault="008A6FC0" w:rsidP="008A6FC0">
            <w:r>
              <w:t xml:space="preserve">             Aprazolam                                                (Xanaz)                                                     0.75 mg </w:t>
            </w:r>
          </w:p>
          <w:p w:rsidR="008A6FC0" w:rsidRDefault="008A6FC0" w:rsidP="008A6FC0">
            <w:r>
              <w:t xml:space="preserve">             Estezolam                                                 (Prosom)                                                     0.5 mg    </w:t>
            </w:r>
          </w:p>
          <w:p w:rsidR="008A6FC0" w:rsidRPr="00A434B1" w:rsidRDefault="008A6FC0" w:rsidP="008A6FC0">
            <w:r>
              <w:t xml:space="preserve">                                  </w:t>
            </w:r>
          </w:p>
          <w:p w:rsidR="00617068" w:rsidRDefault="008A6FC0" w:rsidP="008A6FC0">
            <w:r w:rsidRPr="00A434B1">
              <w:rPr>
                <w:i/>
              </w:rPr>
              <w:br/>
            </w:r>
          </w:p>
          <w:p w:rsidR="008A6FC0" w:rsidRDefault="008A6FC0" w:rsidP="008A6FC0"/>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8A6FC0">
              <w:t>1 of 2</w:t>
            </w:r>
          </w:p>
          <w:p w:rsidR="00FC6D52" w:rsidRDefault="00FC6D52" w:rsidP="00FC6D52"/>
        </w:tc>
      </w:tr>
    </w:tbl>
    <w:p w:rsidR="00B731B7" w:rsidRDefault="00B731B7"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8A6FC0" w:rsidRDefault="00487AAD" w:rsidP="00487AAD">
            <w:pPr>
              <w:pStyle w:val="ListParagraph"/>
            </w:pPr>
            <w:r>
              <w:t xml:space="preserve"> </w:t>
            </w:r>
            <w:r w:rsidR="00EB7F69">
              <w:t xml:space="preserve">       </w:t>
            </w:r>
            <w:r w:rsidR="008A6FC0">
              <w:t>Short-Acting Benzodiazepine or</w:t>
            </w:r>
          </w:p>
          <w:p w:rsidR="00EB7F69" w:rsidRDefault="008A6FC0" w:rsidP="002A730C">
            <w:r>
              <w:t xml:space="preserve">                        Other Anxiolytic/Sedative Drugs  </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8A6FC0" w:rsidRPr="007E2D80" w:rsidRDefault="008A6FC0" w:rsidP="008A6FC0">
            <w:pPr>
              <w:rPr>
                <w:u w:val="single"/>
              </w:rPr>
            </w:pPr>
            <w:r w:rsidRPr="007E2D80">
              <w:rPr>
                <w:u w:val="single"/>
              </w:rPr>
              <w:t>Other Anxiolytic and Sedative Drugs</w:t>
            </w:r>
          </w:p>
          <w:p w:rsidR="008A6FC0" w:rsidRPr="007E2D80" w:rsidRDefault="008A6FC0" w:rsidP="008A6FC0">
            <w:r>
              <w:t xml:space="preserve">                   GENERIC                                          BRAND                                           DAILY ORAL DOSE      </w:t>
            </w:r>
          </w:p>
          <w:p w:rsidR="008A6FC0" w:rsidRDefault="008A6FC0" w:rsidP="008A6FC0">
            <w:r>
              <w:t xml:space="preserve">                   Dipnerhydramine                               (Benadryl)                                                          50 mg.</w:t>
            </w:r>
          </w:p>
          <w:p w:rsidR="008A6FC0" w:rsidRDefault="008A6FC0" w:rsidP="008A6FC0">
            <w:r>
              <w:t xml:space="preserve">                   Hydroxyzine                                      (Atarax, Vistaril)                                                50 mg.</w:t>
            </w:r>
          </w:p>
          <w:p w:rsidR="008A6FC0" w:rsidRPr="007E2D80" w:rsidRDefault="008A6FC0" w:rsidP="008A6FC0">
            <w:r>
              <w:t xml:space="preserve">                   Chloral  Hydrate                                (Many Brands)                                                  750mg                           </w:t>
            </w:r>
          </w:p>
          <w:p w:rsidR="008A6FC0" w:rsidRDefault="008A6FC0" w:rsidP="008A6FC0"/>
          <w:p w:rsidR="008A6FC0" w:rsidRDefault="008A6FC0" w:rsidP="008A6FC0">
            <w:pPr>
              <w:numPr>
                <w:ilvl w:val="0"/>
                <w:numId w:val="28"/>
              </w:numPr>
            </w:pPr>
            <w:r>
              <w:t>The daily doses listed above are usually administered in divide doses for the geriatric resident.  Therapy should be initiated with lower doses and gradually increased if necessary.  Doses may only be exceeded if the facility provides evidence to show that the increased dose is necessary for the maintenance or improvement in the resident’s functional status.</w:t>
            </w:r>
          </w:p>
          <w:p w:rsidR="008A6FC0" w:rsidRDefault="008A6FC0" w:rsidP="008A6FC0">
            <w:pPr>
              <w:numPr>
                <w:ilvl w:val="0"/>
                <w:numId w:val="28"/>
              </w:numPr>
            </w:pPr>
            <w:r>
              <w:t>A gradual dose reduction should be attempted at least twice within one year before one can conclude the GDR is clinically contraindicated.</w:t>
            </w:r>
          </w:p>
          <w:p w:rsidR="008A6FC0" w:rsidRDefault="008A6FC0" w:rsidP="008A6FC0">
            <w:pPr>
              <w:numPr>
                <w:ilvl w:val="0"/>
                <w:numId w:val="28"/>
              </w:numPr>
            </w:pPr>
            <w:r>
              <w:t>Diphenhydramine (Benadryl) , Hydroxyzine, (Atarax, Vistaril), and Chloral Hydrate are not necessarily drugs of choice for treatment of anxiety disorders and are only listed here in the event of their potential use.</w:t>
            </w:r>
          </w:p>
          <w:p w:rsidR="008A6FC0" w:rsidRDefault="008A6FC0" w:rsidP="008A6FC0"/>
          <w:p w:rsidR="008A6FC0" w:rsidRDefault="008A6FC0" w:rsidP="008A6FC0">
            <w:pPr>
              <w:numPr>
                <w:ilvl w:val="0"/>
                <w:numId w:val="26"/>
              </w:numPr>
            </w:pPr>
            <w:r>
              <w:t>DOCUMENTATION</w:t>
            </w:r>
          </w:p>
          <w:p w:rsidR="008A6FC0" w:rsidRDefault="008A6FC0" w:rsidP="008A6FC0">
            <w:pPr>
              <w:numPr>
                <w:ilvl w:val="0"/>
                <w:numId w:val="30"/>
              </w:numPr>
            </w:pPr>
            <w:r>
              <w:t>Information regarding use of the Short-Acting Benzodiazepines or other Anxiolytic/Sedative drugs should be recorded in the following areas:</w:t>
            </w:r>
          </w:p>
          <w:p w:rsidR="008A6FC0" w:rsidRDefault="008A6FC0" w:rsidP="008A6FC0">
            <w:pPr>
              <w:numPr>
                <w:ilvl w:val="0"/>
                <w:numId w:val="31"/>
              </w:numPr>
            </w:pPr>
            <w:r>
              <w:t>Resident Care Plan</w:t>
            </w:r>
          </w:p>
          <w:p w:rsidR="008A6FC0" w:rsidRDefault="008A6FC0" w:rsidP="008A6FC0">
            <w:pPr>
              <w:numPr>
                <w:ilvl w:val="0"/>
                <w:numId w:val="31"/>
              </w:numPr>
            </w:pPr>
            <w:r>
              <w:t>Pharmacy Consultation Report</w:t>
            </w:r>
          </w:p>
          <w:p w:rsidR="008A6FC0" w:rsidRDefault="008A6FC0" w:rsidP="008A6FC0">
            <w:pPr>
              <w:numPr>
                <w:ilvl w:val="0"/>
                <w:numId w:val="31"/>
              </w:numPr>
            </w:pPr>
            <w:r>
              <w:t>Physician and Nursing Progress Notes</w:t>
            </w:r>
          </w:p>
          <w:p w:rsidR="008A6FC0" w:rsidRDefault="008A6FC0" w:rsidP="008A6FC0">
            <w:pPr>
              <w:numPr>
                <w:ilvl w:val="0"/>
                <w:numId w:val="31"/>
              </w:numPr>
            </w:pPr>
            <w:r>
              <w:t>QA Auditing Form</w:t>
            </w:r>
          </w:p>
          <w:p w:rsidR="008A6FC0" w:rsidRDefault="008A6FC0" w:rsidP="008A6FC0">
            <w:pPr>
              <w:numPr>
                <w:ilvl w:val="0"/>
                <w:numId w:val="31"/>
              </w:numPr>
            </w:pPr>
            <w:r>
              <w:t>Behavior Documentation Record</w:t>
            </w:r>
          </w:p>
          <w:p w:rsidR="00EB7F69" w:rsidRDefault="00EB7F69" w:rsidP="002A730C"/>
          <w:p w:rsidR="00EB7F69" w:rsidRDefault="00EB7F69" w:rsidP="002A730C"/>
          <w:p w:rsidR="00EB7F69" w:rsidRDefault="00EB7F69" w:rsidP="002A730C">
            <w:r>
              <w:t xml:space="preserve"> </w:t>
            </w:r>
            <w:r w:rsidR="008A6FC0">
              <w:t xml:space="preserve">ATTACHMENT:  </w:t>
            </w:r>
          </w:p>
          <w:p w:rsidR="008A6FC0" w:rsidRDefault="008A6FC0" w:rsidP="002A730C">
            <w:r>
              <w:t>Short-Acting Benzodiazipine Drugs Training</w:t>
            </w:r>
          </w:p>
          <w:p w:rsidR="00EB7F69" w:rsidRDefault="00EB7F69" w:rsidP="002A730C">
            <w:pPr>
              <w:ind w:left="405"/>
            </w:pPr>
          </w:p>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8A6FC0"/>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tc>
        <w:tc>
          <w:tcPr>
            <w:tcW w:w="2203" w:type="dxa"/>
          </w:tcPr>
          <w:p w:rsidR="00EB7F69" w:rsidRDefault="00EB7F69" w:rsidP="002A730C">
            <w:r>
              <w:t>Revision Date:</w:t>
            </w:r>
          </w:p>
          <w:p w:rsidR="00EB7F69" w:rsidRDefault="00EB7F69" w:rsidP="002A730C"/>
          <w:p w:rsidR="00EB7F69" w:rsidRDefault="00EB7F69" w:rsidP="002A730C"/>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8A6FC0">
              <w:t>2 of 2</w:t>
            </w:r>
          </w:p>
          <w:p w:rsidR="00EB7F69" w:rsidRDefault="00EB7F69" w:rsidP="002A730C"/>
        </w:tc>
      </w:tr>
    </w:tbl>
    <w:p w:rsidR="00EB7F69" w:rsidRDefault="00EB7F69" w:rsidP="00B731B7"/>
    <w:p w:rsidR="00EB7F69" w:rsidRDefault="00EB7F69" w:rsidP="00B731B7"/>
    <w:p w:rsidR="00EB7F69" w:rsidRDefault="00EB7F69" w:rsidP="00B731B7"/>
    <w:p w:rsidR="00EB7F69" w:rsidRDefault="00EB7F69" w:rsidP="00B731B7"/>
    <w:p w:rsidR="008A6FC0" w:rsidRDefault="008A6FC0" w:rsidP="008A6FC0">
      <w:pPr>
        <w:jc w:val="center"/>
        <w:rPr>
          <w:sz w:val="44"/>
          <w:szCs w:val="44"/>
        </w:rPr>
      </w:pPr>
      <w:r>
        <w:rPr>
          <w:sz w:val="44"/>
          <w:szCs w:val="44"/>
        </w:rPr>
        <w:t>SHORT-ACTING BENZODIAZIPINE DRUGS,</w:t>
      </w:r>
    </w:p>
    <w:p w:rsidR="008A6FC0" w:rsidRDefault="008A6FC0" w:rsidP="008A6FC0">
      <w:pPr>
        <w:jc w:val="center"/>
        <w:rPr>
          <w:sz w:val="44"/>
          <w:szCs w:val="44"/>
        </w:rPr>
      </w:pPr>
      <w:r>
        <w:rPr>
          <w:sz w:val="44"/>
          <w:szCs w:val="44"/>
        </w:rPr>
        <w:t>OTHER ANXIOLYTICS AND SEDATIVES</w:t>
      </w:r>
    </w:p>
    <w:p w:rsidR="008A6FC0" w:rsidRDefault="008A6FC0" w:rsidP="008A6FC0">
      <w:pPr>
        <w:rPr>
          <w:sz w:val="44"/>
          <w:szCs w:val="44"/>
        </w:rPr>
      </w:pPr>
    </w:p>
    <w:p w:rsidR="008A6FC0" w:rsidRDefault="008A6FC0" w:rsidP="008A6FC0">
      <w:pPr>
        <w:rPr>
          <w:sz w:val="44"/>
          <w:szCs w:val="44"/>
        </w:rPr>
      </w:pPr>
    </w:p>
    <w:p w:rsidR="008A6FC0" w:rsidRDefault="008A6FC0" w:rsidP="008A6FC0">
      <w:pPr>
        <w:rPr>
          <w:sz w:val="36"/>
          <w:szCs w:val="36"/>
        </w:rPr>
      </w:pPr>
      <w:r>
        <w:rPr>
          <w:sz w:val="36"/>
          <w:szCs w:val="36"/>
        </w:rPr>
        <w:t>WHAT ARE THEY?</w:t>
      </w:r>
    </w:p>
    <w:p w:rsidR="008A6FC0" w:rsidRDefault="008A6FC0" w:rsidP="008A6FC0">
      <w:pPr>
        <w:rPr>
          <w:sz w:val="36"/>
          <w:szCs w:val="36"/>
        </w:rPr>
      </w:pPr>
    </w:p>
    <w:p w:rsidR="008A6FC0" w:rsidRPr="00D5265C" w:rsidRDefault="008A6FC0" w:rsidP="008A6FC0">
      <w:pPr>
        <w:numPr>
          <w:ilvl w:val="0"/>
          <w:numId w:val="32"/>
        </w:numPr>
        <w:rPr>
          <w:sz w:val="36"/>
          <w:szCs w:val="36"/>
        </w:rPr>
      </w:pPr>
      <w:r>
        <w:rPr>
          <w:sz w:val="32"/>
          <w:szCs w:val="32"/>
        </w:rPr>
        <w:t>Ativan, Serax, Xanax, Prosom, Benadryl, Atarax, Vistaril, Chloral Hydrate</w:t>
      </w:r>
    </w:p>
    <w:p w:rsidR="008A6FC0" w:rsidRDefault="008A6FC0" w:rsidP="008A6FC0">
      <w:pPr>
        <w:rPr>
          <w:sz w:val="32"/>
          <w:szCs w:val="32"/>
        </w:rPr>
      </w:pPr>
    </w:p>
    <w:p w:rsidR="008A6FC0" w:rsidRDefault="008A6FC0" w:rsidP="008A6FC0">
      <w:pPr>
        <w:rPr>
          <w:sz w:val="32"/>
          <w:szCs w:val="32"/>
        </w:rPr>
      </w:pPr>
    </w:p>
    <w:p w:rsidR="008A6FC0" w:rsidRDefault="008A6FC0" w:rsidP="008A6FC0">
      <w:pPr>
        <w:rPr>
          <w:sz w:val="32"/>
          <w:szCs w:val="32"/>
        </w:rPr>
      </w:pPr>
    </w:p>
    <w:p w:rsidR="008A6FC0" w:rsidRDefault="008A6FC0" w:rsidP="008A6FC0">
      <w:pPr>
        <w:rPr>
          <w:sz w:val="36"/>
          <w:szCs w:val="36"/>
        </w:rPr>
      </w:pPr>
      <w:r>
        <w:rPr>
          <w:sz w:val="36"/>
          <w:szCs w:val="36"/>
        </w:rPr>
        <w:t>WHEN CAN YOU USE?</w:t>
      </w:r>
    </w:p>
    <w:p w:rsidR="008A6FC0" w:rsidRDefault="008A6FC0" w:rsidP="008A6FC0">
      <w:pPr>
        <w:rPr>
          <w:sz w:val="36"/>
          <w:szCs w:val="36"/>
        </w:rPr>
      </w:pPr>
    </w:p>
    <w:p w:rsidR="008A6FC0" w:rsidRDefault="008A6FC0" w:rsidP="008A6FC0">
      <w:pPr>
        <w:numPr>
          <w:ilvl w:val="0"/>
          <w:numId w:val="32"/>
        </w:numPr>
        <w:rPr>
          <w:sz w:val="32"/>
          <w:szCs w:val="32"/>
        </w:rPr>
      </w:pPr>
      <w:r>
        <w:rPr>
          <w:sz w:val="32"/>
          <w:szCs w:val="32"/>
        </w:rPr>
        <w:t>Other reasons for resident’s distress have been ruled out.</w:t>
      </w:r>
    </w:p>
    <w:p w:rsidR="008A6FC0" w:rsidRDefault="008A6FC0" w:rsidP="008A6FC0">
      <w:pPr>
        <w:rPr>
          <w:sz w:val="32"/>
          <w:szCs w:val="32"/>
        </w:rPr>
      </w:pPr>
    </w:p>
    <w:p w:rsidR="008A6FC0" w:rsidRDefault="008A6FC0" w:rsidP="008A6FC0">
      <w:pPr>
        <w:numPr>
          <w:ilvl w:val="0"/>
          <w:numId w:val="32"/>
        </w:numPr>
        <w:rPr>
          <w:sz w:val="32"/>
          <w:szCs w:val="32"/>
        </w:rPr>
      </w:pPr>
      <w:r>
        <w:rPr>
          <w:sz w:val="32"/>
          <w:szCs w:val="32"/>
        </w:rPr>
        <w:t>Results in maintenance or improvement in the resident’s functional status.</w:t>
      </w:r>
    </w:p>
    <w:p w:rsidR="008A6FC0" w:rsidRDefault="008A6FC0" w:rsidP="008A6FC0">
      <w:pPr>
        <w:pStyle w:val="ListParagraph"/>
        <w:rPr>
          <w:sz w:val="32"/>
          <w:szCs w:val="32"/>
        </w:rPr>
      </w:pPr>
    </w:p>
    <w:p w:rsidR="008A6FC0" w:rsidRDefault="008A6FC0" w:rsidP="008A6FC0">
      <w:pPr>
        <w:numPr>
          <w:ilvl w:val="0"/>
          <w:numId w:val="32"/>
        </w:numPr>
        <w:rPr>
          <w:sz w:val="32"/>
          <w:szCs w:val="32"/>
        </w:rPr>
      </w:pPr>
      <w:r>
        <w:rPr>
          <w:sz w:val="32"/>
          <w:szCs w:val="32"/>
        </w:rPr>
        <w:t>Gradual dose reduction should be attempted at least twice within one year.</w:t>
      </w:r>
    </w:p>
    <w:p w:rsidR="008A6FC0" w:rsidRDefault="008A6FC0" w:rsidP="008A6FC0">
      <w:pPr>
        <w:pStyle w:val="ListParagraph"/>
        <w:rPr>
          <w:sz w:val="32"/>
          <w:szCs w:val="32"/>
        </w:rPr>
      </w:pPr>
    </w:p>
    <w:p w:rsidR="008A6FC0" w:rsidRDefault="008A6FC0" w:rsidP="008A6FC0">
      <w:pPr>
        <w:rPr>
          <w:sz w:val="32"/>
          <w:szCs w:val="32"/>
        </w:rPr>
      </w:pPr>
    </w:p>
    <w:p w:rsidR="008A6FC0" w:rsidRDefault="008A6FC0" w:rsidP="008A6FC0">
      <w:pPr>
        <w:jc w:val="center"/>
        <w:rPr>
          <w:sz w:val="44"/>
          <w:szCs w:val="44"/>
        </w:rPr>
      </w:pPr>
    </w:p>
    <w:p w:rsidR="008A6FC0" w:rsidRDefault="008A6FC0" w:rsidP="008A6FC0">
      <w:pPr>
        <w:jc w:val="center"/>
        <w:rPr>
          <w:sz w:val="44"/>
          <w:szCs w:val="44"/>
        </w:rPr>
      </w:pPr>
    </w:p>
    <w:p w:rsidR="008A6FC0" w:rsidRDefault="008A6FC0" w:rsidP="008A6FC0">
      <w:pPr>
        <w:jc w:val="center"/>
        <w:rPr>
          <w:sz w:val="44"/>
          <w:szCs w:val="44"/>
        </w:rPr>
      </w:pPr>
    </w:p>
    <w:p w:rsidR="008A6FC0" w:rsidRDefault="008A6FC0" w:rsidP="008A6FC0">
      <w:pPr>
        <w:jc w:val="center"/>
        <w:rPr>
          <w:sz w:val="44"/>
          <w:szCs w:val="44"/>
        </w:rPr>
      </w:pPr>
    </w:p>
    <w:p w:rsidR="008A6FC0" w:rsidRDefault="008A6FC0" w:rsidP="008A6FC0">
      <w:pPr>
        <w:jc w:val="center"/>
        <w:rPr>
          <w:sz w:val="44"/>
          <w:szCs w:val="44"/>
        </w:rPr>
      </w:pPr>
    </w:p>
    <w:p w:rsidR="008A6FC0" w:rsidRDefault="008A6FC0" w:rsidP="008A6FC0">
      <w:pPr>
        <w:jc w:val="center"/>
        <w:rPr>
          <w:sz w:val="44"/>
          <w:szCs w:val="44"/>
        </w:rPr>
      </w:pPr>
    </w:p>
    <w:p w:rsidR="008A6FC0" w:rsidRDefault="008A6FC0" w:rsidP="008A6FC0">
      <w:pPr>
        <w:jc w:val="center"/>
        <w:rPr>
          <w:sz w:val="44"/>
          <w:szCs w:val="44"/>
        </w:rPr>
      </w:pPr>
    </w:p>
    <w:p w:rsidR="008A6FC0" w:rsidRDefault="008A6FC0" w:rsidP="008A6FC0">
      <w:pPr>
        <w:jc w:val="center"/>
        <w:rPr>
          <w:sz w:val="44"/>
          <w:szCs w:val="44"/>
        </w:rPr>
      </w:pPr>
    </w:p>
    <w:p w:rsidR="008A6FC0" w:rsidRDefault="008A6FC0" w:rsidP="008A6FC0">
      <w:pPr>
        <w:jc w:val="center"/>
        <w:rPr>
          <w:sz w:val="44"/>
          <w:szCs w:val="44"/>
        </w:rPr>
      </w:pPr>
    </w:p>
    <w:p w:rsidR="008A6FC0" w:rsidRDefault="008A6FC0" w:rsidP="008A6FC0">
      <w:pPr>
        <w:jc w:val="center"/>
        <w:rPr>
          <w:sz w:val="44"/>
          <w:szCs w:val="44"/>
        </w:rPr>
      </w:pPr>
    </w:p>
    <w:p w:rsidR="008A6FC0" w:rsidRDefault="008A6FC0" w:rsidP="008A6FC0">
      <w:pPr>
        <w:jc w:val="center"/>
        <w:rPr>
          <w:sz w:val="44"/>
          <w:szCs w:val="44"/>
        </w:rPr>
      </w:pPr>
    </w:p>
    <w:p w:rsidR="008A6FC0" w:rsidRDefault="008A6FC0" w:rsidP="008A6FC0">
      <w:pPr>
        <w:jc w:val="center"/>
        <w:rPr>
          <w:sz w:val="44"/>
          <w:szCs w:val="44"/>
        </w:rPr>
      </w:pPr>
    </w:p>
    <w:p w:rsidR="008A6FC0" w:rsidRDefault="008A6FC0" w:rsidP="008A6FC0">
      <w:pPr>
        <w:jc w:val="center"/>
        <w:rPr>
          <w:sz w:val="44"/>
          <w:szCs w:val="44"/>
        </w:rPr>
      </w:pPr>
      <w:r>
        <w:rPr>
          <w:sz w:val="44"/>
          <w:szCs w:val="44"/>
        </w:rPr>
        <w:t>SHORT-ACTING BENZODIAZEPINE DRUGS</w:t>
      </w:r>
    </w:p>
    <w:p w:rsidR="008A6FC0" w:rsidRDefault="008A6FC0" w:rsidP="008A6FC0">
      <w:pPr>
        <w:jc w:val="center"/>
        <w:rPr>
          <w:sz w:val="44"/>
          <w:szCs w:val="44"/>
        </w:rPr>
      </w:pPr>
      <w:r>
        <w:rPr>
          <w:sz w:val="44"/>
          <w:szCs w:val="44"/>
        </w:rPr>
        <w:t>OTHER ANXIOLYTICS AND SEDATIVES</w:t>
      </w:r>
    </w:p>
    <w:p w:rsidR="008A6FC0" w:rsidRDefault="008A6FC0" w:rsidP="008A6FC0">
      <w:pPr>
        <w:rPr>
          <w:sz w:val="44"/>
          <w:szCs w:val="44"/>
        </w:rPr>
      </w:pPr>
    </w:p>
    <w:p w:rsidR="008A6FC0" w:rsidRDefault="008A6FC0" w:rsidP="008A6FC0">
      <w:pPr>
        <w:rPr>
          <w:sz w:val="36"/>
          <w:szCs w:val="36"/>
        </w:rPr>
      </w:pPr>
      <w:r>
        <w:rPr>
          <w:sz w:val="36"/>
          <w:szCs w:val="36"/>
        </w:rPr>
        <w:t>INDICATIONS FOR USE:</w:t>
      </w:r>
    </w:p>
    <w:p w:rsidR="008A6FC0" w:rsidRDefault="008A6FC0" w:rsidP="008A6FC0">
      <w:pPr>
        <w:rPr>
          <w:sz w:val="36"/>
          <w:szCs w:val="36"/>
        </w:rPr>
      </w:pPr>
    </w:p>
    <w:p w:rsidR="008A6FC0" w:rsidRDefault="008A6FC0" w:rsidP="008A6FC0">
      <w:pPr>
        <w:numPr>
          <w:ilvl w:val="0"/>
          <w:numId w:val="32"/>
        </w:numPr>
        <w:rPr>
          <w:sz w:val="32"/>
          <w:szCs w:val="32"/>
        </w:rPr>
      </w:pPr>
      <w:r>
        <w:rPr>
          <w:sz w:val="32"/>
          <w:szCs w:val="32"/>
        </w:rPr>
        <w:t>Generalized Anxiety Disorder</w:t>
      </w:r>
    </w:p>
    <w:p w:rsidR="008A6FC0" w:rsidRDefault="008A6FC0" w:rsidP="008A6FC0">
      <w:pPr>
        <w:rPr>
          <w:sz w:val="32"/>
          <w:szCs w:val="32"/>
        </w:rPr>
      </w:pPr>
    </w:p>
    <w:p w:rsidR="008A6FC0" w:rsidRDefault="008A6FC0" w:rsidP="008A6FC0">
      <w:pPr>
        <w:numPr>
          <w:ilvl w:val="0"/>
          <w:numId w:val="32"/>
        </w:numPr>
        <w:rPr>
          <w:sz w:val="32"/>
          <w:szCs w:val="32"/>
        </w:rPr>
      </w:pPr>
      <w:r>
        <w:rPr>
          <w:sz w:val="32"/>
          <w:szCs w:val="32"/>
        </w:rPr>
        <w:t>Organic Mental Syndromes with associated agitated behaviors; which have been documented, are persistent, not due to preventable reasons, a source of distress or dysfunction, or represent a danger to the resident and/or others</w:t>
      </w:r>
    </w:p>
    <w:p w:rsidR="008A6FC0" w:rsidRDefault="008A6FC0" w:rsidP="008A6FC0">
      <w:pPr>
        <w:pStyle w:val="ListParagraph"/>
        <w:rPr>
          <w:sz w:val="32"/>
          <w:szCs w:val="32"/>
        </w:rPr>
      </w:pPr>
    </w:p>
    <w:p w:rsidR="008A6FC0" w:rsidRDefault="008A6FC0" w:rsidP="008A6FC0">
      <w:pPr>
        <w:numPr>
          <w:ilvl w:val="0"/>
          <w:numId w:val="32"/>
        </w:numPr>
        <w:rPr>
          <w:sz w:val="32"/>
          <w:szCs w:val="32"/>
        </w:rPr>
      </w:pPr>
      <w:r>
        <w:rPr>
          <w:sz w:val="32"/>
          <w:szCs w:val="32"/>
        </w:rPr>
        <w:t>Panic Disorder</w:t>
      </w:r>
    </w:p>
    <w:p w:rsidR="008A6FC0" w:rsidRDefault="008A6FC0" w:rsidP="008A6FC0">
      <w:pPr>
        <w:pStyle w:val="ListParagraph"/>
        <w:rPr>
          <w:sz w:val="32"/>
          <w:szCs w:val="32"/>
        </w:rPr>
      </w:pPr>
    </w:p>
    <w:p w:rsidR="008A6FC0" w:rsidRPr="007E3947" w:rsidRDefault="008A6FC0" w:rsidP="008A6FC0">
      <w:pPr>
        <w:numPr>
          <w:ilvl w:val="0"/>
          <w:numId w:val="32"/>
        </w:numPr>
        <w:rPr>
          <w:sz w:val="32"/>
          <w:szCs w:val="32"/>
        </w:rPr>
      </w:pPr>
      <w:r>
        <w:rPr>
          <w:sz w:val="32"/>
          <w:szCs w:val="32"/>
        </w:rPr>
        <w:t>Symptomatic Anxiety that occurs in residents with another diagnosed psychiatric disorder</w:t>
      </w:r>
    </w:p>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E94425A"/>
    <w:multiLevelType w:val="hybridMultilevel"/>
    <w:tmpl w:val="A0381D22"/>
    <w:lvl w:ilvl="0" w:tplc="944EDC72">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15:restartNumberingAfterBreak="0">
    <w:nsid w:val="21F90C65"/>
    <w:multiLevelType w:val="hybridMultilevel"/>
    <w:tmpl w:val="8B56C4FA"/>
    <w:lvl w:ilvl="0" w:tplc="6F64F068">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E2254A"/>
    <w:multiLevelType w:val="hybridMultilevel"/>
    <w:tmpl w:val="AF445D0C"/>
    <w:lvl w:ilvl="0" w:tplc="361652A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B550BE"/>
    <w:multiLevelType w:val="hybridMultilevel"/>
    <w:tmpl w:val="7AD80CD2"/>
    <w:lvl w:ilvl="0" w:tplc="2A3A7F34">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1"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2" w15:restartNumberingAfterBreak="0">
    <w:nsid w:val="4F652A8C"/>
    <w:multiLevelType w:val="hybridMultilevel"/>
    <w:tmpl w:val="6974EE20"/>
    <w:lvl w:ilvl="0" w:tplc="BFB07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4" w15:restartNumberingAfterBreak="0">
    <w:nsid w:val="5E133C36"/>
    <w:multiLevelType w:val="hybridMultilevel"/>
    <w:tmpl w:val="180E53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2E47171"/>
    <w:multiLevelType w:val="hybridMultilevel"/>
    <w:tmpl w:val="A844A20C"/>
    <w:lvl w:ilvl="0" w:tplc="03C262D2">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9"/>
  </w:num>
  <w:num w:numId="3">
    <w:abstractNumId w:val="12"/>
  </w:num>
  <w:num w:numId="4">
    <w:abstractNumId w:val="17"/>
  </w:num>
  <w:num w:numId="5">
    <w:abstractNumId w:val="0"/>
  </w:num>
  <w:num w:numId="6">
    <w:abstractNumId w:val="16"/>
  </w:num>
  <w:num w:numId="7">
    <w:abstractNumId w:val="31"/>
  </w:num>
  <w:num w:numId="8">
    <w:abstractNumId w:val="27"/>
  </w:num>
  <w:num w:numId="9">
    <w:abstractNumId w:val="2"/>
  </w:num>
  <w:num w:numId="10">
    <w:abstractNumId w:val="4"/>
  </w:num>
  <w:num w:numId="11">
    <w:abstractNumId w:val="18"/>
  </w:num>
  <w:num w:numId="12">
    <w:abstractNumId w:val="1"/>
  </w:num>
  <w:num w:numId="13">
    <w:abstractNumId w:val="11"/>
  </w:num>
  <w:num w:numId="14">
    <w:abstractNumId w:val="5"/>
  </w:num>
  <w:num w:numId="15">
    <w:abstractNumId w:val="6"/>
  </w:num>
  <w:num w:numId="16">
    <w:abstractNumId w:val="14"/>
  </w:num>
  <w:num w:numId="17">
    <w:abstractNumId w:val="15"/>
  </w:num>
  <w:num w:numId="18">
    <w:abstractNumId w:val="28"/>
  </w:num>
  <w:num w:numId="19">
    <w:abstractNumId w:val="25"/>
  </w:num>
  <w:num w:numId="20">
    <w:abstractNumId w:val="7"/>
  </w:num>
  <w:num w:numId="21">
    <w:abstractNumId w:val="3"/>
  </w:num>
  <w:num w:numId="22">
    <w:abstractNumId w:val="26"/>
  </w:num>
  <w:num w:numId="23">
    <w:abstractNumId w:val="8"/>
  </w:num>
  <w:num w:numId="24">
    <w:abstractNumId w:val="23"/>
  </w:num>
  <w:num w:numId="25">
    <w:abstractNumId w:val="21"/>
  </w:num>
  <w:num w:numId="26">
    <w:abstractNumId w:val="22"/>
  </w:num>
  <w:num w:numId="27">
    <w:abstractNumId w:val="30"/>
  </w:num>
  <w:num w:numId="28">
    <w:abstractNumId w:val="9"/>
  </w:num>
  <w:num w:numId="29">
    <w:abstractNumId w:val="20"/>
  </w:num>
  <w:num w:numId="30">
    <w:abstractNumId w:val="10"/>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1F4527"/>
    <w:rsid w:val="00231CDA"/>
    <w:rsid w:val="002A730C"/>
    <w:rsid w:val="00333BB5"/>
    <w:rsid w:val="00347ED8"/>
    <w:rsid w:val="004602A8"/>
    <w:rsid w:val="00487AAD"/>
    <w:rsid w:val="00495518"/>
    <w:rsid w:val="004A3044"/>
    <w:rsid w:val="00510140"/>
    <w:rsid w:val="005915DC"/>
    <w:rsid w:val="005B31CA"/>
    <w:rsid w:val="00617068"/>
    <w:rsid w:val="00693714"/>
    <w:rsid w:val="00772973"/>
    <w:rsid w:val="0084125D"/>
    <w:rsid w:val="00863F06"/>
    <w:rsid w:val="008A6FC0"/>
    <w:rsid w:val="008E5F8B"/>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F655125-58AB-4959-B7C3-37A9650A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8A6F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2018-09-12T18:50:00Z</dcterms:created>
  <dcterms:modified xsi:type="dcterms:W3CDTF">2018-09-12T18:50:00Z</dcterms:modified>
</cp:coreProperties>
</file>