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072BC8" w:rsidP="00072BC8">
            <w:pPr>
              <w:pStyle w:val="ListParagraph"/>
            </w:pPr>
            <w:r>
              <w:t xml:space="preserve"> </w:t>
            </w:r>
            <w:r w:rsidR="00FC6D52">
              <w:t xml:space="preserve"> </w:t>
            </w:r>
            <w:r w:rsidR="00BC5BF6">
              <w:t xml:space="preserve"> </w:t>
            </w:r>
            <w:r w:rsidR="001F4527">
              <w:t xml:space="preserve">     </w:t>
            </w:r>
            <w:r w:rsidR="00274479" w:rsidRPr="001158B4">
              <w:rPr>
                <w:rFonts w:ascii="Calibri" w:hAnsi="Calibri"/>
                <w:sz w:val="22"/>
                <w:szCs w:val="22"/>
              </w:rPr>
              <w:t>Hydration Program</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274479" w:rsidRPr="001158B4" w:rsidRDefault="00274479" w:rsidP="00274479">
            <w:pPr>
              <w:rPr>
                <w:rFonts w:ascii="Calibri" w:hAnsi="Calibri"/>
                <w:sz w:val="22"/>
                <w:szCs w:val="22"/>
              </w:rPr>
            </w:pPr>
            <w:r w:rsidRPr="001158B4">
              <w:rPr>
                <w:rFonts w:ascii="Calibri" w:hAnsi="Calibri"/>
                <w:sz w:val="22"/>
                <w:szCs w:val="22"/>
              </w:rPr>
              <w:t>PURPOSE:</w:t>
            </w:r>
          </w:p>
          <w:p w:rsidR="00274479" w:rsidRPr="001158B4" w:rsidRDefault="00274479" w:rsidP="00274479">
            <w:pPr>
              <w:rPr>
                <w:rFonts w:ascii="Calibri" w:hAnsi="Calibri"/>
                <w:sz w:val="22"/>
                <w:szCs w:val="22"/>
              </w:rPr>
            </w:pPr>
            <w:r w:rsidRPr="001158B4">
              <w:rPr>
                <w:rFonts w:ascii="Calibri" w:hAnsi="Calibri"/>
                <w:sz w:val="22"/>
                <w:szCs w:val="22"/>
              </w:rPr>
              <w:t>To provide the residents with sufficient fluid intake to maintain proper hydration and health.</w:t>
            </w:r>
          </w:p>
          <w:p w:rsidR="00274479" w:rsidRPr="001158B4" w:rsidRDefault="00274479" w:rsidP="00274479">
            <w:pPr>
              <w:rPr>
                <w:rFonts w:ascii="Calibri" w:hAnsi="Calibri"/>
                <w:sz w:val="22"/>
                <w:szCs w:val="22"/>
              </w:rPr>
            </w:pPr>
          </w:p>
          <w:p w:rsidR="00274479" w:rsidRPr="001158B4" w:rsidRDefault="00274479" w:rsidP="00274479">
            <w:pPr>
              <w:rPr>
                <w:rFonts w:ascii="Calibri" w:hAnsi="Calibri"/>
                <w:sz w:val="22"/>
                <w:szCs w:val="22"/>
              </w:rPr>
            </w:pPr>
            <w:r w:rsidRPr="001158B4">
              <w:rPr>
                <w:rFonts w:ascii="Calibri" w:hAnsi="Calibri"/>
                <w:sz w:val="22"/>
                <w:szCs w:val="22"/>
              </w:rPr>
              <w:t>STATEMENT OF POLICY:</w:t>
            </w:r>
          </w:p>
          <w:p w:rsidR="00274479" w:rsidRPr="001158B4" w:rsidRDefault="00274479" w:rsidP="00274479">
            <w:pPr>
              <w:rPr>
                <w:rFonts w:ascii="Calibri" w:hAnsi="Calibri"/>
                <w:sz w:val="22"/>
                <w:szCs w:val="22"/>
              </w:rPr>
            </w:pPr>
            <w:r w:rsidRPr="001158B4">
              <w:rPr>
                <w:rFonts w:ascii="Calibri" w:hAnsi="Calibri"/>
                <w:sz w:val="22"/>
                <w:szCs w:val="22"/>
              </w:rPr>
              <w:t>It will be a standard of this facility to identify risk factors, which can lead to dehydration and to develop a strategic preventive plan of care.</w:t>
            </w:r>
          </w:p>
          <w:p w:rsidR="00274479" w:rsidRPr="001158B4" w:rsidRDefault="00274479" w:rsidP="00274479">
            <w:pPr>
              <w:rPr>
                <w:rFonts w:ascii="Calibri" w:hAnsi="Calibri"/>
                <w:sz w:val="22"/>
                <w:szCs w:val="22"/>
              </w:rPr>
            </w:pPr>
          </w:p>
          <w:p w:rsidR="00274479" w:rsidRPr="001158B4" w:rsidRDefault="00274479" w:rsidP="00274479">
            <w:pPr>
              <w:rPr>
                <w:rFonts w:ascii="Calibri" w:hAnsi="Calibri"/>
                <w:sz w:val="22"/>
                <w:szCs w:val="22"/>
              </w:rPr>
            </w:pPr>
            <w:r w:rsidRPr="001158B4">
              <w:rPr>
                <w:rFonts w:ascii="Calibri" w:hAnsi="Calibri"/>
                <w:sz w:val="22"/>
                <w:szCs w:val="22"/>
              </w:rPr>
              <w:t>PROCEDURE:</w:t>
            </w:r>
          </w:p>
          <w:p w:rsidR="00274479" w:rsidRPr="001158B4" w:rsidRDefault="00274479" w:rsidP="00274479">
            <w:pPr>
              <w:rPr>
                <w:rFonts w:ascii="Calibri" w:hAnsi="Calibri"/>
                <w:sz w:val="22"/>
                <w:szCs w:val="22"/>
              </w:rPr>
            </w:pPr>
            <w:r w:rsidRPr="001158B4">
              <w:rPr>
                <w:rFonts w:ascii="Calibri" w:hAnsi="Calibri"/>
                <w:sz w:val="22"/>
                <w:szCs w:val="22"/>
              </w:rPr>
              <w:t>A High risk for dehydration resident shall be defined as any resident that’s experiencing any of the following conditions:</w:t>
            </w:r>
          </w:p>
          <w:p w:rsidR="00274479" w:rsidRPr="001158B4" w:rsidRDefault="00274479" w:rsidP="00274479">
            <w:pPr>
              <w:rPr>
                <w:rFonts w:ascii="Calibri" w:hAnsi="Calibri"/>
                <w:sz w:val="22"/>
                <w:szCs w:val="22"/>
              </w:rPr>
            </w:pP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Any resident that has dehydration triggering on the MDS/RAP’s</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Fecal Impaction</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Urinary Tract Infection</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Tube Feeding (new-monitor for at least 3 months or until stable)</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Decline in ADL’s</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Pressure Sores</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Vomiting</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Diarrhea</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Elevated temperatures</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Residents that depend on staff for provision of fluid intake</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Use of medications i.e. diuretics, laxatives, and cardiovascular agents.</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Renal Disease</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Dysphagia</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Hx. Of refusing fluids</w:t>
            </w:r>
          </w:p>
          <w:p w:rsidR="00274479" w:rsidRPr="001158B4" w:rsidRDefault="00274479" w:rsidP="00274479">
            <w:pPr>
              <w:numPr>
                <w:ilvl w:val="0"/>
                <w:numId w:val="20"/>
              </w:numPr>
              <w:rPr>
                <w:rFonts w:ascii="Calibri" w:hAnsi="Calibri"/>
                <w:sz w:val="22"/>
                <w:szCs w:val="22"/>
              </w:rPr>
            </w:pPr>
            <w:r w:rsidRPr="001158B4">
              <w:rPr>
                <w:rFonts w:ascii="Calibri" w:hAnsi="Calibri"/>
                <w:sz w:val="22"/>
                <w:szCs w:val="22"/>
              </w:rPr>
              <w:t>Fluid restricted residents</w:t>
            </w:r>
          </w:p>
          <w:p w:rsidR="00274479" w:rsidRDefault="00274479" w:rsidP="00274479"/>
          <w:p w:rsidR="001158B4" w:rsidRPr="001158B4" w:rsidRDefault="001158B4" w:rsidP="001158B4">
            <w:pPr>
              <w:pStyle w:val="NoSpacing"/>
              <w:numPr>
                <w:ilvl w:val="0"/>
                <w:numId w:val="26"/>
              </w:numPr>
            </w:pPr>
            <w:r w:rsidRPr="001158B4">
              <w:t>All residents will have a dietary assessment completed on admission, quarterly and with any significant changes in condition for any risk factors. The assessment will be completed by an R.D. or the dietary services manager.</w:t>
            </w:r>
          </w:p>
          <w:p w:rsidR="001158B4" w:rsidRPr="001158B4" w:rsidRDefault="001158B4" w:rsidP="001158B4">
            <w:pPr>
              <w:pStyle w:val="NoSpacing"/>
              <w:numPr>
                <w:ilvl w:val="0"/>
                <w:numId w:val="26"/>
              </w:numPr>
            </w:pPr>
            <w:r w:rsidRPr="001158B4">
              <w:t>The resident’s daily fluid needs will be assessed by the R.D. on admission and annually.</w:t>
            </w:r>
          </w:p>
          <w:p w:rsidR="001158B4" w:rsidRPr="001158B4" w:rsidRDefault="001158B4" w:rsidP="001158B4">
            <w:pPr>
              <w:pStyle w:val="NoSpacing"/>
              <w:numPr>
                <w:ilvl w:val="0"/>
                <w:numId w:val="26"/>
              </w:numPr>
            </w:pPr>
            <w:r w:rsidRPr="001158B4">
              <w:t>If the resident requires additional fluids during the day to meet his/her daily requirement, the IDT will be responsible for determining the distribution of those fluids.</w:t>
            </w:r>
          </w:p>
          <w:p w:rsidR="001158B4" w:rsidRPr="001158B4" w:rsidRDefault="001158B4" w:rsidP="001158B4">
            <w:pPr>
              <w:pStyle w:val="NoSpacing"/>
              <w:numPr>
                <w:ilvl w:val="0"/>
                <w:numId w:val="26"/>
              </w:numPr>
            </w:pPr>
            <w:r w:rsidRPr="001158B4">
              <w:t>In the event that the R.D. is not able to assess the resident within 14 days of admission, the IDT will be responsible for determining the required daily fluid intake.</w:t>
            </w:r>
          </w:p>
          <w:p w:rsidR="001158B4" w:rsidRPr="001158B4" w:rsidRDefault="001158B4" w:rsidP="001158B4">
            <w:pPr>
              <w:pStyle w:val="NoSpacing"/>
              <w:numPr>
                <w:ilvl w:val="1"/>
                <w:numId w:val="26"/>
              </w:numPr>
            </w:pPr>
            <w:r w:rsidRPr="001158B4">
              <w:t>For residents that are assessed to be AT RISK, the IDT will assess:</w:t>
            </w:r>
          </w:p>
          <w:p w:rsidR="001158B4" w:rsidRPr="001158B4" w:rsidRDefault="001158B4" w:rsidP="001158B4">
            <w:pPr>
              <w:pStyle w:val="NoSpacing"/>
              <w:numPr>
                <w:ilvl w:val="2"/>
                <w:numId w:val="26"/>
              </w:numPr>
            </w:pPr>
            <w:r w:rsidRPr="001158B4">
              <w:t>Lab Values</w:t>
            </w:r>
          </w:p>
          <w:p w:rsidR="001158B4" w:rsidRPr="001158B4" w:rsidRDefault="001158B4" w:rsidP="001158B4">
            <w:pPr>
              <w:pStyle w:val="NoSpacing"/>
              <w:numPr>
                <w:ilvl w:val="2"/>
                <w:numId w:val="26"/>
              </w:numPr>
            </w:pPr>
            <w:r w:rsidRPr="001158B4">
              <w:t>The resident’s ability to obtain fluids</w:t>
            </w:r>
          </w:p>
          <w:p w:rsidR="001158B4" w:rsidRPr="001158B4" w:rsidRDefault="001158B4" w:rsidP="001158B4">
            <w:pPr>
              <w:pStyle w:val="NoSpacing"/>
              <w:numPr>
                <w:ilvl w:val="2"/>
                <w:numId w:val="26"/>
              </w:numPr>
            </w:pPr>
            <w:r w:rsidRPr="001158B4">
              <w:t>The resident’s fluid preferences</w:t>
            </w:r>
          </w:p>
          <w:p w:rsidR="001158B4" w:rsidRPr="001158B4" w:rsidRDefault="001158B4" w:rsidP="001158B4">
            <w:pPr>
              <w:pStyle w:val="NoSpacing"/>
              <w:numPr>
                <w:ilvl w:val="2"/>
                <w:numId w:val="26"/>
              </w:numPr>
            </w:pPr>
            <w:r w:rsidRPr="001158B4">
              <w:t>The resident’s mental status</w:t>
            </w:r>
          </w:p>
          <w:p w:rsidR="001158B4" w:rsidRPr="001158B4" w:rsidRDefault="001158B4" w:rsidP="001158B4">
            <w:pPr>
              <w:pStyle w:val="NoSpacing"/>
              <w:numPr>
                <w:ilvl w:val="2"/>
                <w:numId w:val="26"/>
              </w:numPr>
            </w:pPr>
            <w:r w:rsidRPr="001158B4">
              <w:t xml:space="preserve">The resident’s snack times </w:t>
            </w:r>
          </w:p>
          <w:p w:rsidR="001158B4" w:rsidRPr="001158B4" w:rsidRDefault="001158B4" w:rsidP="001158B4">
            <w:pPr>
              <w:pStyle w:val="NoSpacing"/>
              <w:numPr>
                <w:ilvl w:val="2"/>
                <w:numId w:val="26"/>
              </w:numPr>
            </w:pPr>
            <w:r w:rsidRPr="001158B4">
              <w:t>The resident’s medication regimen</w:t>
            </w:r>
          </w:p>
          <w:p w:rsidR="001158B4" w:rsidRPr="001158B4" w:rsidRDefault="001158B4" w:rsidP="001158B4">
            <w:pPr>
              <w:pStyle w:val="NoSpacing"/>
              <w:numPr>
                <w:ilvl w:val="0"/>
                <w:numId w:val="26"/>
              </w:numPr>
            </w:pPr>
            <w:r w:rsidRPr="001158B4">
              <w:t>The residents will be placed on a Dehydration at Risk flow sheet to alert staff.</w:t>
            </w:r>
          </w:p>
          <w:p w:rsidR="001158B4" w:rsidRDefault="001158B4" w:rsidP="00274479"/>
          <w:p w:rsidR="00617068" w:rsidRDefault="00617068" w:rsidP="001158B4"/>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1158B4" w:rsidRDefault="001158B4" w:rsidP="00FC6D52"/>
          <w:p w:rsidR="001158B4" w:rsidRDefault="001158B4" w:rsidP="00FC6D52">
            <w:r>
              <w:t xml:space="preserve">          6/2010</w:t>
            </w:r>
          </w:p>
        </w:tc>
        <w:tc>
          <w:tcPr>
            <w:tcW w:w="2203" w:type="dxa"/>
          </w:tcPr>
          <w:p w:rsidR="00FC6D52" w:rsidRDefault="00B02F13" w:rsidP="00FC6D52">
            <w:r>
              <w:t>Revision Date:</w:t>
            </w:r>
          </w:p>
          <w:p w:rsidR="001158B4" w:rsidRDefault="001158B4" w:rsidP="00FC6D52"/>
          <w:p w:rsidR="009E67CD" w:rsidRDefault="001158B4" w:rsidP="00FC6D52">
            <w:r>
              <w:t xml:space="preserve">          8/2013</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274479">
              <w:t>1 of 2</w:t>
            </w:r>
          </w:p>
          <w:p w:rsidR="00FC6D52" w:rsidRDefault="00FC6D52" w:rsidP="00FC6D52"/>
        </w:tc>
      </w:tr>
    </w:tbl>
    <w:p w:rsidR="00B731B7" w:rsidRDefault="00B731B7" w:rsidP="00B731B7"/>
    <w:p w:rsidR="00274479" w:rsidRDefault="0027447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74479" w:rsidTr="00D33AA5">
        <w:tc>
          <w:tcPr>
            <w:tcW w:w="8748" w:type="dxa"/>
            <w:gridSpan w:val="4"/>
            <w:vAlign w:val="center"/>
          </w:tcPr>
          <w:p w:rsidR="00274479" w:rsidRDefault="00274479" w:rsidP="00D33AA5"/>
          <w:p w:rsidR="00274479" w:rsidRDefault="00072BC8" w:rsidP="00072BC8">
            <w:pPr>
              <w:pStyle w:val="ListParagraph"/>
            </w:pPr>
            <w:r>
              <w:t xml:space="preserve"> </w:t>
            </w:r>
            <w:r w:rsidR="00274479">
              <w:t xml:space="preserve">       Hydration Program</w:t>
            </w:r>
          </w:p>
          <w:p w:rsidR="00274479" w:rsidRDefault="00274479" w:rsidP="00D33AA5"/>
        </w:tc>
        <w:tc>
          <w:tcPr>
            <w:tcW w:w="2340" w:type="dxa"/>
            <w:gridSpan w:val="2"/>
          </w:tcPr>
          <w:p w:rsidR="00274479" w:rsidRDefault="00274479" w:rsidP="00D33AA5"/>
          <w:p w:rsidR="00274479" w:rsidRPr="001F4527" w:rsidRDefault="00274479" w:rsidP="00D33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274479" w:rsidRDefault="00274479" w:rsidP="00D33AA5"/>
        </w:tc>
      </w:tr>
      <w:tr w:rsidR="00274479" w:rsidTr="00D33AA5">
        <w:trPr>
          <w:hidden/>
        </w:trPr>
        <w:tc>
          <w:tcPr>
            <w:tcW w:w="11088" w:type="dxa"/>
            <w:gridSpan w:val="6"/>
          </w:tcPr>
          <w:p w:rsidR="001158B4" w:rsidRPr="001158B4" w:rsidRDefault="001158B4" w:rsidP="001158B4">
            <w:pPr>
              <w:pStyle w:val="ListParagraph"/>
              <w:numPr>
                <w:ilvl w:val="0"/>
                <w:numId w:val="27"/>
              </w:numPr>
              <w:contextualSpacing w:val="0"/>
              <w:rPr>
                <w:rFonts w:ascii="Calibri" w:eastAsia="Calibri" w:hAnsi="Calibri"/>
                <w:vanish/>
                <w:sz w:val="22"/>
                <w:szCs w:val="22"/>
                <w:lang w:bidi="ar-SA"/>
              </w:rPr>
            </w:pPr>
          </w:p>
          <w:p w:rsidR="001158B4" w:rsidRPr="001158B4" w:rsidRDefault="001158B4" w:rsidP="001158B4">
            <w:pPr>
              <w:pStyle w:val="ListParagraph"/>
              <w:numPr>
                <w:ilvl w:val="0"/>
                <w:numId w:val="27"/>
              </w:numPr>
              <w:contextualSpacing w:val="0"/>
              <w:rPr>
                <w:rFonts w:ascii="Calibri" w:eastAsia="Calibri" w:hAnsi="Calibri"/>
                <w:vanish/>
                <w:sz w:val="22"/>
                <w:szCs w:val="22"/>
                <w:lang w:bidi="ar-SA"/>
              </w:rPr>
            </w:pPr>
          </w:p>
          <w:p w:rsidR="001158B4" w:rsidRPr="001158B4" w:rsidRDefault="001158B4" w:rsidP="001158B4">
            <w:pPr>
              <w:pStyle w:val="ListParagraph"/>
              <w:numPr>
                <w:ilvl w:val="0"/>
                <w:numId w:val="27"/>
              </w:numPr>
              <w:contextualSpacing w:val="0"/>
              <w:rPr>
                <w:rFonts w:ascii="Calibri" w:eastAsia="Calibri" w:hAnsi="Calibri"/>
                <w:vanish/>
                <w:sz w:val="22"/>
                <w:szCs w:val="22"/>
                <w:lang w:bidi="ar-SA"/>
              </w:rPr>
            </w:pPr>
          </w:p>
          <w:p w:rsidR="001158B4" w:rsidRPr="001158B4" w:rsidRDefault="001158B4" w:rsidP="001158B4">
            <w:pPr>
              <w:pStyle w:val="ListParagraph"/>
              <w:numPr>
                <w:ilvl w:val="0"/>
                <w:numId w:val="27"/>
              </w:numPr>
              <w:contextualSpacing w:val="0"/>
              <w:rPr>
                <w:rFonts w:ascii="Calibri" w:eastAsia="Calibri" w:hAnsi="Calibri"/>
                <w:vanish/>
                <w:sz w:val="22"/>
                <w:szCs w:val="22"/>
                <w:lang w:bidi="ar-SA"/>
              </w:rPr>
            </w:pPr>
          </w:p>
          <w:p w:rsidR="001158B4" w:rsidRPr="001158B4" w:rsidRDefault="001158B4" w:rsidP="001158B4">
            <w:pPr>
              <w:pStyle w:val="ListParagraph"/>
              <w:numPr>
                <w:ilvl w:val="0"/>
                <w:numId w:val="27"/>
              </w:numPr>
              <w:contextualSpacing w:val="0"/>
              <w:rPr>
                <w:rFonts w:ascii="Calibri" w:eastAsia="Calibri" w:hAnsi="Calibri"/>
                <w:vanish/>
                <w:sz w:val="22"/>
                <w:szCs w:val="22"/>
                <w:lang w:bidi="ar-SA"/>
              </w:rPr>
            </w:pPr>
          </w:p>
          <w:p w:rsidR="001158B4" w:rsidRPr="001158B4" w:rsidRDefault="001158B4" w:rsidP="001158B4">
            <w:pPr>
              <w:pStyle w:val="NoSpacing"/>
              <w:ind w:left="720"/>
            </w:pPr>
          </w:p>
          <w:p w:rsidR="001158B4" w:rsidRPr="001158B4" w:rsidRDefault="001158B4" w:rsidP="001158B4">
            <w:pPr>
              <w:pStyle w:val="NoSpacing"/>
              <w:ind w:left="720"/>
            </w:pPr>
          </w:p>
          <w:p w:rsidR="001158B4" w:rsidRPr="001158B4" w:rsidRDefault="001158B4" w:rsidP="001158B4">
            <w:pPr>
              <w:pStyle w:val="NoSpacing"/>
              <w:numPr>
                <w:ilvl w:val="0"/>
                <w:numId w:val="27"/>
              </w:numPr>
            </w:pPr>
            <w:r w:rsidRPr="001158B4">
              <w:t>Dietary will provide beverages at 10 a.m. and 2 p.m. in the dining room. A hydration cart will be sent out at those times and at 7 p.m. for those residents who are not able to come to the dining room.</w:t>
            </w:r>
          </w:p>
          <w:p w:rsidR="001158B4" w:rsidRPr="001158B4" w:rsidRDefault="001158B4" w:rsidP="001158B4">
            <w:pPr>
              <w:pStyle w:val="NoSpacing"/>
              <w:numPr>
                <w:ilvl w:val="0"/>
                <w:numId w:val="27"/>
              </w:numPr>
            </w:pPr>
            <w:r w:rsidRPr="001158B4">
              <w:t xml:space="preserve">Dietary meal percentage and fluid intake sheets will be completed at every meal by the designated staff member. The consumption from the hydration cart will also be documented on the high risk residents. </w:t>
            </w:r>
          </w:p>
          <w:p w:rsidR="001158B4" w:rsidRPr="001158B4" w:rsidRDefault="001158B4" w:rsidP="001158B4">
            <w:pPr>
              <w:pStyle w:val="NoSpacing"/>
              <w:numPr>
                <w:ilvl w:val="0"/>
                <w:numId w:val="27"/>
              </w:numPr>
            </w:pPr>
            <w:r w:rsidRPr="001158B4">
              <w:t>Staff will encourage consumption of fluids by all residents at meal times.</w:t>
            </w:r>
          </w:p>
          <w:p w:rsidR="001158B4" w:rsidRPr="001158B4" w:rsidRDefault="001158B4" w:rsidP="001158B4">
            <w:pPr>
              <w:pStyle w:val="NoSpacing"/>
              <w:numPr>
                <w:ilvl w:val="0"/>
                <w:numId w:val="27"/>
              </w:numPr>
            </w:pPr>
            <w:r w:rsidRPr="001158B4">
              <w:t>Nurses will offer fluids during medication pass.</w:t>
            </w:r>
          </w:p>
          <w:p w:rsidR="001158B4" w:rsidRPr="001158B4" w:rsidRDefault="001158B4" w:rsidP="001158B4">
            <w:pPr>
              <w:pStyle w:val="NoSpacing"/>
              <w:numPr>
                <w:ilvl w:val="0"/>
                <w:numId w:val="27"/>
              </w:numPr>
            </w:pPr>
            <w:r w:rsidRPr="001158B4">
              <w:t>C.N.A.s will offer fluids when in resident’s rooms.</w:t>
            </w:r>
          </w:p>
          <w:p w:rsidR="001158B4" w:rsidRPr="001158B4" w:rsidRDefault="001158B4" w:rsidP="001158B4">
            <w:pPr>
              <w:pStyle w:val="NoSpacing"/>
              <w:numPr>
                <w:ilvl w:val="0"/>
                <w:numId w:val="27"/>
              </w:numPr>
            </w:pPr>
            <w:r w:rsidRPr="001158B4">
              <w:t>Those residents who are at risk will be addressed on their care plan, when appropriate.</w:t>
            </w:r>
          </w:p>
          <w:p w:rsidR="00274479" w:rsidRDefault="00274479"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1158B4" w:rsidRDefault="001158B4" w:rsidP="00D33AA5"/>
          <w:p w:rsidR="00274479" w:rsidRDefault="00274479" w:rsidP="001158B4">
            <w:r>
              <w:t xml:space="preserve">            </w:t>
            </w:r>
          </w:p>
          <w:p w:rsidR="00274479" w:rsidRDefault="00274479" w:rsidP="00274479"/>
        </w:tc>
      </w:tr>
      <w:tr w:rsidR="00274479" w:rsidTr="00D33AA5">
        <w:tc>
          <w:tcPr>
            <w:tcW w:w="2203" w:type="dxa"/>
          </w:tcPr>
          <w:p w:rsidR="00274479" w:rsidRDefault="00274479" w:rsidP="00D33AA5">
            <w:r>
              <w:t>Approved:</w:t>
            </w:r>
          </w:p>
        </w:tc>
        <w:tc>
          <w:tcPr>
            <w:tcW w:w="2203" w:type="dxa"/>
          </w:tcPr>
          <w:p w:rsidR="00274479" w:rsidRDefault="00274479" w:rsidP="00D33AA5">
            <w:r>
              <w:t>Effective Date:</w:t>
            </w:r>
          </w:p>
          <w:p w:rsidR="001158B4" w:rsidRDefault="001158B4" w:rsidP="00D33AA5"/>
          <w:p w:rsidR="001158B4" w:rsidRDefault="001158B4" w:rsidP="00D33AA5">
            <w:r>
              <w:t xml:space="preserve">          6/2010</w:t>
            </w:r>
          </w:p>
        </w:tc>
        <w:tc>
          <w:tcPr>
            <w:tcW w:w="2203" w:type="dxa"/>
          </w:tcPr>
          <w:p w:rsidR="00274479" w:rsidRDefault="00274479" w:rsidP="00D33AA5">
            <w:r>
              <w:t>Revision Date:</w:t>
            </w:r>
          </w:p>
          <w:p w:rsidR="001158B4" w:rsidRDefault="001158B4" w:rsidP="00D33AA5"/>
          <w:p w:rsidR="00274479" w:rsidRDefault="001158B4" w:rsidP="00D33AA5">
            <w:r>
              <w:t xml:space="preserve">           8/2013</w:t>
            </w:r>
          </w:p>
          <w:p w:rsidR="00274479" w:rsidRDefault="00274479" w:rsidP="00D33AA5"/>
        </w:tc>
        <w:tc>
          <w:tcPr>
            <w:tcW w:w="2203" w:type="dxa"/>
            <w:gridSpan w:val="2"/>
          </w:tcPr>
          <w:p w:rsidR="00274479" w:rsidRDefault="00274479" w:rsidP="00D33AA5">
            <w:r>
              <w:t>Change No.:</w:t>
            </w:r>
          </w:p>
        </w:tc>
        <w:tc>
          <w:tcPr>
            <w:tcW w:w="2276" w:type="dxa"/>
          </w:tcPr>
          <w:p w:rsidR="00274479" w:rsidRDefault="00274479" w:rsidP="00D33AA5">
            <w:r>
              <w:t>Page:</w:t>
            </w:r>
          </w:p>
          <w:p w:rsidR="00274479" w:rsidRDefault="00274479" w:rsidP="00D33AA5"/>
          <w:p w:rsidR="00274479" w:rsidRDefault="00274479" w:rsidP="00D33AA5">
            <w:r>
              <w:t xml:space="preserve">         2 of 2</w:t>
            </w:r>
          </w:p>
          <w:p w:rsidR="00274479" w:rsidRDefault="00274479" w:rsidP="00D33AA5"/>
        </w:tc>
      </w:tr>
    </w:tbl>
    <w:p w:rsidR="00274479" w:rsidRDefault="00274479" w:rsidP="00B731B7"/>
    <w:p w:rsidR="00274479" w:rsidRDefault="00274479" w:rsidP="00B731B7"/>
    <w:sectPr w:rsidR="0027447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AEA"/>
    <w:multiLevelType w:val="hybridMultilevel"/>
    <w:tmpl w:val="BE50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F017B"/>
    <w:multiLevelType w:val="hybridMultilevel"/>
    <w:tmpl w:val="ECF86590"/>
    <w:lvl w:ilvl="0" w:tplc="85C2D4CA">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84656B"/>
    <w:multiLevelType w:val="hybridMultilevel"/>
    <w:tmpl w:val="37368C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F6E10"/>
    <w:multiLevelType w:val="hybridMultilevel"/>
    <w:tmpl w:val="FA9A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451E60"/>
    <w:multiLevelType w:val="hybridMultilevel"/>
    <w:tmpl w:val="F5E298EA"/>
    <w:lvl w:ilvl="0" w:tplc="E02EE4E0">
      <w:numFmt w:val="bullet"/>
      <w:lvlText w:val=""/>
      <w:lvlJc w:val="left"/>
      <w:pPr>
        <w:ind w:left="705" w:hanging="360"/>
      </w:pPr>
      <w:rPr>
        <w:rFonts w:ascii="Wingdings" w:eastAsia="Times New Roman" w:hAnsi="Wingdings"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E173297"/>
    <w:multiLevelType w:val="hybridMultilevel"/>
    <w:tmpl w:val="333A84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50E56"/>
    <w:multiLevelType w:val="hybridMultilevel"/>
    <w:tmpl w:val="CB20036E"/>
    <w:lvl w:ilvl="0" w:tplc="0694CCC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560F06"/>
    <w:multiLevelType w:val="hybridMultilevel"/>
    <w:tmpl w:val="37368C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10"/>
  </w:num>
  <w:num w:numId="4">
    <w:abstractNumId w:val="17"/>
  </w:num>
  <w:num w:numId="5">
    <w:abstractNumId w:val="1"/>
  </w:num>
  <w:num w:numId="6">
    <w:abstractNumId w:val="16"/>
  </w:num>
  <w:num w:numId="7">
    <w:abstractNumId w:val="26"/>
  </w:num>
  <w:num w:numId="8">
    <w:abstractNumId w:val="23"/>
  </w:num>
  <w:num w:numId="9">
    <w:abstractNumId w:val="3"/>
  </w:num>
  <w:num w:numId="10">
    <w:abstractNumId w:val="4"/>
  </w:num>
  <w:num w:numId="11">
    <w:abstractNumId w:val="18"/>
  </w:num>
  <w:num w:numId="12">
    <w:abstractNumId w:val="2"/>
  </w:num>
  <w:num w:numId="13">
    <w:abstractNumId w:val="8"/>
  </w:num>
  <w:num w:numId="14">
    <w:abstractNumId w:val="6"/>
  </w:num>
  <w:num w:numId="15">
    <w:abstractNumId w:val="7"/>
  </w:num>
  <w:num w:numId="16">
    <w:abstractNumId w:val="11"/>
  </w:num>
  <w:num w:numId="17">
    <w:abstractNumId w:val="13"/>
  </w:num>
  <w:num w:numId="18">
    <w:abstractNumId w:val="24"/>
  </w:num>
  <w:num w:numId="19">
    <w:abstractNumId w:val="22"/>
  </w:num>
  <w:num w:numId="20">
    <w:abstractNumId w:val="14"/>
  </w:num>
  <w:num w:numId="21">
    <w:abstractNumId w:val="12"/>
  </w:num>
  <w:num w:numId="22">
    <w:abstractNumId w:val="5"/>
  </w:num>
  <w:num w:numId="23">
    <w:abstractNumId w:val="19"/>
  </w:num>
  <w:num w:numId="24">
    <w:abstractNumId w:val="15"/>
  </w:num>
  <w:num w:numId="25">
    <w:abstractNumId w:val="0"/>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7383"/>
    <w:rsid w:val="00072BC8"/>
    <w:rsid w:val="000C1725"/>
    <w:rsid w:val="001158B4"/>
    <w:rsid w:val="001908A1"/>
    <w:rsid w:val="00195A25"/>
    <w:rsid w:val="001C4DE9"/>
    <w:rsid w:val="001F4527"/>
    <w:rsid w:val="00231CDA"/>
    <w:rsid w:val="00274479"/>
    <w:rsid w:val="00333BB5"/>
    <w:rsid w:val="00347ED8"/>
    <w:rsid w:val="004602A8"/>
    <w:rsid w:val="00495518"/>
    <w:rsid w:val="004A3044"/>
    <w:rsid w:val="00510140"/>
    <w:rsid w:val="005915DC"/>
    <w:rsid w:val="005B31CA"/>
    <w:rsid w:val="005E6A79"/>
    <w:rsid w:val="00617068"/>
    <w:rsid w:val="00693714"/>
    <w:rsid w:val="0084125D"/>
    <w:rsid w:val="00863F06"/>
    <w:rsid w:val="009536B4"/>
    <w:rsid w:val="00953EA7"/>
    <w:rsid w:val="009560CA"/>
    <w:rsid w:val="00977358"/>
    <w:rsid w:val="009B7383"/>
    <w:rsid w:val="009E3269"/>
    <w:rsid w:val="009E67CD"/>
    <w:rsid w:val="00A67DA9"/>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B7388"/>
    <w:rsid w:val="00CE3082"/>
    <w:rsid w:val="00CF6964"/>
    <w:rsid w:val="00D01EA7"/>
    <w:rsid w:val="00D03BD1"/>
    <w:rsid w:val="00D22661"/>
    <w:rsid w:val="00D33AA5"/>
    <w:rsid w:val="00DA67BE"/>
    <w:rsid w:val="00EA510A"/>
    <w:rsid w:val="00EF5AB3"/>
    <w:rsid w:val="00F16BF7"/>
    <w:rsid w:val="00F214AA"/>
    <w:rsid w:val="00F7276B"/>
    <w:rsid w:val="00FC5CF2"/>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0C6646-9535-48B0-BF2F-D8F3DC05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03BD1"/>
    <w:pPr>
      <w:ind w:left="720" w:hanging="709"/>
      <w:contextualSpacing/>
    </w:pPr>
    <w:rPr>
      <w:lang w:bidi="en-US"/>
    </w:rPr>
  </w:style>
  <w:style w:type="paragraph" w:styleId="NoSpacing">
    <w:name w:val="No Spacing"/>
    <w:uiPriority w:val="1"/>
    <w:qFormat/>
    <w:rsid w:val="001158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2010-06-30T20:20:00Z</cp:lastPrinted>
  <dcterms:created xsi:type="dcterms:W3CDTF">2018-09-12T18:48:00Z</dcterms:created>
  <dcterms:modified xsi:type="dcterms:W3CDTF">2018-09-12T18:48:00Z</dcterms:modified>
</cp:coreProperties>
</file>