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11D1C" w:rsidP="00511D1C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3C226E">
              <w:t>HOT RACK CHARTING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Pr="00FB47D5" w:rsidRDefault="00231CDA" w:rsidP="00FC6D52">
            <w:pPr>
              <w:rPr>
                <w:sz w:val="20"/>
                <w:szCs w:val="20"/>
              </w:rPr>
            </w:pPr>
          </w:p>
          <w:p w:rsidR="003C226E" w:rsidRDefault="003C226E" w:rsidP="003C226E">
            <w:r>
              <w:t>PURPOSE:</w:t>
            </w:r>
          </w:p>
          <w:p w:rsidR="002E65ED" w:rsidRPr="00FB47D5" w:rsidRDefault="002E65ED" w:rsidP="002E65ED">
            <w:pPr>
              <w:rPr>
                <w:sz w:val="20"/>
                <w:szCs w:val="20"/>
              </w:rPr>
            </w:pPr>
          </w:p>
          <w:p w:rsidR="003C226E" w:rsidRDefault="003C226E" w:rsidP="002E65ED">
            <w:r>
              <w:t xml:space="preserve">Residents with condition changes or needing an assessment each shift will be placed on the “HOT RACK”.  </w:t>
            </w:r>
            <w:r w:rsidR="00D57123">
              <w:t>An area</w:t>
            </w:r>
            <w:r>
              <w:t xml:space="preserve"> at each nursing unit will </w:t>
            </w:r>
            <w:r w:rsidR="002E65ED">
              <w:t>be designated for the Hot Rack</w:t>
            </w:r>
            <w:r>
              <w:t xml:space="preserve"> charts.  Residents are monitored each shift</w:t>
            </w:r>
            <w:r w:rsidR="002E65ED">
              <w:t xml:space="preserve"> for assessment with full vital</w:t>
            </w:r>
            <w:r>
              <w:t xml:space="preserve"> signs </w:t>
            </w:r>
            <w:r w:rsidR="002E65ED">
              <w:t xml:space="preserve">(if appropriate) </w:t>
            </w:r>
            <w:r>
              <w:t>and thorough ent</w:t>
            </w:r>
            <w:r w:rsidR="00A761F4">
              <w:t xml:space="preserve">ries into the </w:t>
            </w:r>
            <w:r w:rsidR="002E65ED">
              <w:t xml:space="preserve">nursing </w:t>
            </w:r>
            <w:r w:rsidR="00A761F4">
              <w:t xml:space="preserve">notes.  </w:t>
            </w:r>
          </w:p>
          <w:p w:rsidR="002E65ED" w:rsidRPr="00FB47D5" w:rsidRDefault="002E65ED" w:rsidP="002E65ED">
            <w:pPr>
              <w:rPr>
                <w:sz w:val="20"/>
                <w:szCs w:val="20"/>
              </w:rPr>
            </w:pPr>
          </w:p>
          <w:p w:rsidR="002E65ED" w:rsidRDefault="002E65ED" w:rsidP="002E65ED">
            <w:r>
              <w:t>PROCEDURE:</w:t>
            </w:r>
          </w:p>
          <w:p w:rsidR="002E65ED" w:rsidRPr="00FB47D5" w:rsidRDefault="002E65ED" w:rsidP="002E65ED">
            <w:pPr>
              <w:ind w:left="360"/>
              <w:rPr>
                <w:sz w:val="20"/>
                <w:szCs w:val="20"/>
              </w:rPr>
            </w:pPr>
          </w:p>
          <w:p w:rsidR="002E65ED" w:rsidRDefault="002E65ED" w:rsidP="002E65ED">
            <w:pPr>
              <w:ind w:left="360"/>
            </w:pPr>
            <w:r>
              <w:t>A resident placed on the Hot Rack must be documented on each shift. The documentation must reflect the area(s) of concern that warranted the resident being place</w:t>
            </w:r>
            <w:r w:rsidR="00E53E2D">
              <w:t>d</w:t>
            </w:r>
            <w:r>
              <w:t xml:space="preserve"> on the Hot Rack. The Director of Nursing or </w:t>
            </w:r>
            <w:r w:rsidR="003A7FC9">
              <w:t>his/</w:t>
            </w:r>
            <w:r>
              <w:t>her designee will review the medical record on a daily basis</w:t>
            </w:r>
            <w:r w:rsidR="00E53E2D">
              <w:t>, M-F,</w:t>
            </w:r>
            <w:r>
              <w:t xml:space="preserve"> and make the determination as to whether or not the resident’s area(s) of concern has been addressed in the documentation</w:t>
            </w:r>
            <w:r w:rsidR="003A7FC9">
              <w:t xml:space="preserve"> and do follow up as warranted</w:t>
            </w:r>
            <w:r>
              <w:t xml:space="preserve">. The documentation will include family and physician notification. </w:t>
            </w:r>
          </w:p>
          <w:p w:rsidR="002E65ED" w:rsidRDefault="002E65ED" w:rsidP="002E65ED">
            <w:pPr>
              <w:ind w:left="360"/>
            </w:pPr>
          </w:p>
          <w:p w:rsidR="002E65ED" w:rsidRDefault="002E65ED" w:rsidP="002E65ED">
            <w:pPr>
              <w:ind w:left="360"/>
            </w:pPr>
            <w:r>
              <w:t xml:space="preserve">Any licensed nurse may place a resident on the Hot Rack but only the Director of Nursing or her designee may remove a resident from the Hot Rack system. </w:t>
            </w:r>
          </w:p>
          <w:p w:rsidR="002E65ED" w:rsidRPr="00FB47D5" w:rsidRDefault="002E65ED" w:rsidP="002E65ED">
            <w:pPr>
              <w:rPr>
                <w:sz w:val="20"/>
                <w:szCs w:val="20"/>
              </w:rPr>
            </w:pPr>
          </w:p>
          <w:p w:rsidR="002E65ED" w:rsidRDefault="003A7FC9" w:rsidP="002E65ED">
            <w:r>
              <w:t xml:space="preserve">SUGGESTED </w:t>
            </w:r>
            <w:r w:rsidR="002E65ED">
              <w:t>GUIDELINE FOR HOT RACK CHARTING FOLLOW-UP:</w:t>
            </w:r>
          </w:p>
          <w:p w:rsidR="002E65ED" w:rsidRPr="00FB47D5" w:rsidRDefault="002E65ED" w:rsidP="002E65ED">
            <w:pPr>
              <w:rPr>
                <w:sz w:val="20"/>
                <w:szCs w:val="20"/>
              </w:rPr>
            </w:pPr>
          </w:p>
          <w:p w:rsidR="00D57123" w:rsidRDefault="00E53E2D" w:rsidP="003C226E">
            <w:pPr>
              <w:numPr>
                <w:ilvl w:val="0"/>
                <w:numId w:val="26"/>
              </w:numPr>
            </w:pPr>
            <w:r>
              <w:t xml:space="preserve">New admits, </w:t>
            </w:r>
            <w:r w:rsidR="00D57123">
              <w:t>including full vital signs for 72 hours.</w:t>
            </w:r>
          </w:p>
          <w:p w:rsidR="00CF53BB" w:rsidRDefault="00CF53BB" w:rsidP="003C226E">
            <w:pPr>
              <w:numPr>
                <w:ilvl w:val="0"/>
                <w:numId w:val="26"/>
              </w:numPr>
            </w:pPr>
            <w:r>
              <w:t>Residents who have been to the hospital or who have had a surgical procedure and are re-admitted</w:t>
            </w:r>
            <w:r w:rsidR="00A761F4">
              <w:t xml:space="preserve"> or returned to the facility</w:t>
            </w:r>
            <w:r w:rsidR="0011135C">
              <w:t>.</w:t>
            </w:r>
          </w:p>
          <w:p w:rsidR="00A761F4" w:rsidRDefault="003C226E" w:rsidP="003C226E">
            <w:pPr>
              <w:numPr>
                <w:ilvl w:val="0"/>
                <w:numId w:val="26"/>
              </w:numPr>
            </w:pPr>
            <w:r>
              <w:t xml:space="preserve">Incident reports for approximately 72 hours after the incident (with or without an injury).  </w:t>
            </w:r>
          </w:p>
          <w:p w:rsidR="00E53E2D" w:rsidRDefault="00E53E2D" w:rsidP="003C226E">
            <w:pPr>
              <w:numPr>
                <w:ilvl w:val="0"/>
                <w:numId w:val="26"/>
              </w:numPr>
            </w:pPr>
            <w:r>
              <w:t>Falls where resident hits their head will include documentation of neuro checks for 72 hours.</w:t>
            </w:r>
          </w:p>
          <w:p w:rsidR="003C226E" w:rsidRDefault="00A761F4" w:rsidP="003C226E">
            <w:pPr>
              <w:numPr>
                <w:ilvl w:val="0"/>
                <w:numId w:val="26"/>
              </w:numPr>
            </w:pPr>
            <w:r>
              <w:t>Falls</w:t>
            </w:r>
            <w:r w:rsidR="00E53E2D">
              <w:t xml:space="preserve">, </w:t>
            </w:r>
            <w:r>
              <w:t>i</w:t>
            </w:r>
            <w:r w:rsidR="003C226E">
              <w:t>f un</w:t>
            </w:r>
            <w:r>
              <w:t>-</w:t>
            </w:r>
            <w:r w:rsidR="003C226E">
              <w:t xml:space="preserve">witnessed, treated as suspected head injury and </w:t>
            </w:r>
            <w:r>
              <w:t xml:space="preserve">include </w:t>
            </w:r>
            <w:r w:rsidR="003C226E">
              <w:t>documentation of neuro</w:t>
            </w:r>
            <w:r>
              <w:t xml:space="preserve"> </w:t>
            </w:r>
            <w:r w:rsidR="003C226E">
              <w:t>checks for 72 hours.</w:t>
            </w:r>
          </w:p>
          <w:p w:rsidR="00A761F4" w:rsidRDefault="00A761F4" w:rsidP="003C226E">
            <w:pPr>
              <w:numPr>
                <w:ilvl w:val="0"/>
                <w:numId w:val="26"/>
              </w:numPr>
            </w:pPr>
            <w:r>
              <w:t>Medication errors</w:t>
            </w:r>
            <w:r w:rsidR="00E53E2D">
              <w:t>.</w:t>
            </w:r>
          </w:p>
          <w:p w:rsidR="003C226E" w:rsidRDefault="003C226E" w:rsidP="003C226E">
            <w:pPr>
              <w:numPr>
                <w:ilvl w:val="0"/>
                <w:numId w:val="26"/>
              </w:numPr>
            </w:pPr>
            <w:r>
              <w:t xml:space="preserve">Residents on antibiotics, including </w:t>
            </w:r>
            <w:r w:rsidR="00F8147F">
              <w:t>temperature checks</w:t>
            </w:r>
            <w:r>
              <w:t>, until 72 hours post antibiotic therapy.</w:t>
            </w:r>
          </w:p>
          <w:p w:rsidR="00A761F4" w:rsidRDefault="00A761F4" w:rsidP="003C226E">
            <w:pPr>
              <w:numPr>
                <w:ilvl w:val="0"/>
                <w:numId w:val="26"/>
              </w:numPr>
            </w:pPr>
            <w:r>
              <w:t>Residents on new or revised psychotropic medications.</w:t>
            </w:r>
          </w:p>
          <w:p w:rsidR="003C226E" w:rsidRDefault="003C226E" w:rsidP="003C226E">
            <w:pPr>
              <w:numPr>
                <w:ilvl w:val="0"/>
                <w:numId w:val="26"/>
              </w:numPr>
            </w:pPr>
            <w:r>
              <w:t>Residents receiving IV therapy</w:t>
            </w:r>
            <w:r w:rsidR="00E53E2D">
              <w:t xml:space="preserve"> until 72 hours post IV therapy</w:t>
            </w:r>
            <w:r w:rsidR="00A761F4">
              <w:t>.</w:t>
            </w:r>
          </w:p>
          <w:p w:rsidR="00021F1A" w:rsidRDefault="00021F1A" w:rsidP="003C226E">
            <w:pPr>
              <w:numPr>
                <w:ilvl w:val="0"/>
                <w:numId w:val="26"/>
              </w:numPr>
            </w:pPr>
            <w:r>
              <w:t xml:space="preserve">Residents who have had a Foley catheter </w:t>
            </w:r>
            <w:r w:rsidR="00F8147F">
              <w:t>newly inserted</w:t>
            </w:r>
            <w:r>
              <w:t xml:space="preserve"> or discontinued.</w:t>
            </w:r>
          </w:p>
          <w:p w:rsidR="003C226E" w:rsidRDefault="003C226E" w:rsidP="003C226E">
            <w:pPr>
              <w:numPr>
                <w:ilvl w:val="0"/>
                <w:numId w:val="26"/>
              </w:numPr>
            </w:pPr>
            <w:r>
              <w:t xml:space="preserve">Acute conditions:  Changes in mood or behavior and/or decline in condition such as congestion, fever, reactions to medications, </w:t>
            </w:r>
            <w:r w:rsidR="00DB5138">
              <w:t xml:space="preserve">change in vital signs </w:t>
            </w:r>
            <w:r>
              <w:t>etc.</w:t>
            </w:r>
            <w:r w:rsidR="0011135C">
              <w:t>,</w:t>
            </w:r>
            <w:r w:rsidR="00E53E2D">
              <w:t xml:space="preserve"> e</w:t>
            </w:r>
            <w:r w:rsidR="00A761F4">
              <w:t>pisodes of Vertigo</w:t>
            </w:r>
            <w:r w:rsidR="00AA0FFF">
              <w:t xml:space="preserve">, </w:t>
            </w:r>
            <w:r w:rsidR="00A761F4">
              <w:t>seizure activity</w:t>
            </w:r>
            <w:r w:rsidR="00AA0FFF">
              <w:t xml:space="preserve"> or isolation</w:t>
            </w:r>
            <w:r w:rsidR="00A761F4">
              <w:t>.</w:t>
            </w:r>
            <w:r w:rsidR="0011135C">
              <w:t xml:space="preserve"> </w:t>
            </w:r>
          </w:p>
          <w:p w:rsidR="000A30E2" w:rsidRDefault="000A30E2" w:rsidP="003C226E">
            <w:pPr>
              <w:numPr>
                <w:ilvl w:val="0"/>
                <w:numId w:val="26"/>
              </w:numPr>
            </w:pPr>
            <w:r>
              <w:t>Resident with 2 or more episodes of diarrhea or emesis in a 24 hour period</w:t>
            </w:r>
            <w:r w:rsidR="0035540A">
              <w:t xml:space="preserve"> if outside of their norm</w:t>
            </w:r>
            <w:r>
              <w:t>.</w:t>
            </w:r>
          </w:p>
          <w:p w:rsidR="0011135C" w:rsidRDefault="0011135C" w:rsidP="003C226E">
            <w:pPr>
              <w:numPr>
                <w:ilvl w:val="0"/>
                <w:numId w:val="26"/>
              </w:numPr>
            </w:pPr>
            <w:r>
              <w:t xml:space="preserve">Residents with a change in skin condition including skin tears, pressure and non-pressure ulcers, or bruising. </w:t>
            </w:r>
          </w:p>
          <w:p w:rsidR="00A761F4" w:rsidRDefault="00A761F4" w:rsidP="003C226E">
            <w:pPr>
              <w:numPr>
                <w:ilvl w:val="0"/>
                <w:numId w:val="26"/>
              </w:numPr>
            </w:pPr>
            <w:r>
              <w:t xml:space="preserve">Residents with certain abnormal lab </w:t>
            </w:r>
            <w:r w:rsidR="000E2E36">
              <w:t xml:space="preserve">values (outside of their normal baseline) </w:t>
            </w:r>
            <w:r>
              <w:t>including abnormal blood glucose levels.</w:t>
            </w:r>
          </w:p>
          <w:p w:rsidR="00A761F4" w:rsidRDefault="00A761F4" w:rsidP="003C226E">
            <w:pPr>
              <w:numPr>
                <w:ilvl w:val="0"/>
                <w:numId w:val="26"/>
              </w:numPr>
            </w:pPr>
            <w:r>
              <w:t xml:space="preserve">Residents with </w:t>
            </w:r>
            <w:r w:rsidR="000E2E36">
              <w:t>new or increased pain.</w:t>
            </w:r>
          </w:p>
          <w:p w:rsidR="00A761F4" w:rsidRDefault="00A761F4" w:rsidP="003C226E">
            <w:pPr>
              <w:numPr>
                <w:ilvl w:val="0"/>
                <w:numId w:val="26"/>
              </w:numPr>
            </w:pPr>
            <w:r>
              <w:t>Residents who have attempted to elope from the facility</w:t>
            </w:r>
            <w:r w:rsidR="00021F1A">
              <w:t>.</w:t>
            </w:r>
          </w:p>
          <w:p w:rsidR="00021F1A" w:rsidRDefault="00021F1A" w:rsidP="003C226E">
            <w:pPr>
              <w:numPr>
                <w:ilvl w:val="0"/>
                <w:numId w:val="26"/>
              </w:numPr>
            </w:pPr>
            <w:r>
              <w:t>Residents who have had a change in their diet order</w:t>
            </w:r>
            <w:r w:rsidR="000E2E36">
              <w:t xml:space="preserve"> involving change in consistency, route or formula</w:t>
            </w:r>
            <w:r>
              <w:t>.</w:t>
            </w:r>
          </w:p>
          <w:p w:rsidR="003A7FC9" w:rsidRDefault="003A7FC9" w:rsidP="000A30E2">
            <w:pPr>
              <w:ind w:left="720"/>
            </w:pPr>
          </w:p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BD590A" w:rsidRDefault="00BD590A" w:rsidP="00FC6D52"/>
          <w:p w:rsidR="00BD590A" w:rsidRDefault="00BD590A" w:rsidP="00FC6D52">
            <w:r>
              <w:t xml:space="preserve">           9/2010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A23315" w:rsidP="00FC6D52">
            <w:r>
              <w:t xml:space="preserve">          6/2014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C226E">
              <w:t xml:space="preserve"> 1 of 2</w:t>
            </w:r>
          </w:p>
          <w:p w:rsidR="00FC6D52" w:rsidRDefault="00FC6D52" w:rsidP="00FC6D52"/>
        </w:tc>
      </w:tr>
      <w:tr w:rsidR="00EB7F69" w:rsidTr="002A730C">
        <w:tc>
          <w:tcPr>
            <w:tcW w:w="8748" w:type="dxa"/>
            <w:gridSpan w:val="4"/>
            <w:vAlign w:val="center"/>
          </w:tcPr>
          <w:p w:rsidR="00EB7F69" w:rsidRDefault="00EB7F69" w:rsidP="002A730C"/>
          <w:p w:rsidR="00EB7F69" w:rsidRDefault="00511D1C" w:rsidP="00511D1C">
            <w:pPr>
              <w:pStyle w:val="ListParagraph"/>
            </w:pPr>
            <w:r>
              <w:t xml:space="preserve"> </w:t>
            </w:r>
            <w:r w:rsidR="00EB7F69">
              <w:t xml:space="preserve">       </w:t>
            </w:r>
            <w:r w:rsidR="003C226E">
              <w:t>HOT RACK CHARTING</w:t>
            </w:r>
          </w:p>
          <w:p w:rsidR="00EB7F69" w:rsidRDefault="00EB7F69" w:rsidP="002A730C"/>
        </w:tc>
        <w:tc>
          <w:tcPr>
            <w:tcW w:w="2340" w:type="dxa"/>
            <w:gridSpan w:val="2"/>
          </w:tcPr>
          <w:p w:rsidR="00EB7F69" w:rsidRDefault="00EB7F69" w:rsidP="002A730C"/>
          <w:p w:rsidR="00EB7F69" w:rsidRPr="001F4527" w:rsidRDefault="00EB7F69" w:rsidP="002A730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EB7F69" w:rsidRDefault="00EB7F69" w:rsidP="002A730C"/>
        </w:tc>
      </w:tr>
      <w:tr w:rsidR="00EB7F69" w:rsidTr="002A730C">
        <w:tc>
          <w:tcPr>
            <w:tcW w:w="11088" w:type="dxa"/>
            <w:gridSpan w:val="6"/>
          </w:tcPr>
          <w:p w:rsidR="00EB7F69" w:rsidRDefault="00EB7F69" w:rsidP="002A730C"/>
          <w:p w:rsidR="000A30E2" w:rsidRDefault="000A30E2" w:rsidP="000A30E2">
            <w:pPr>
              <w:numPr>
                <w:ilvl w:val="0"/>
                <w:numId w:val="26"/>
              </w:numPr>
            </w:pPr>
            <w:r>
              <w:t>Residents with altered appetite (refusal or inability to consume food or fluids for more than 2 shifts) or decrease in fluid intake or output.</w:t>
            </w:r>
          </w:p>
          <w:p w:rsidR="00EB7F69" w:rsidRDefault="00021F1A" w:rsidP="000A30E2">
            <w:pPr>
              <w:numPr>
                <w:ilvl w:val="0"/>
                <w:numId w:val="26"/>
              </w:numPr>
            </w:pPr>
            <w:r>
              <w:t>Medicare Residents for the duration of their Medicare days.</w:t>
            </w:r>
          </w:p>
          <w:p w:rsidR="00021F1A" w:rsidRDefault="000A30E2" w:rsidP="00021F1A">
            <w:pPr>
              <w:ind w:left="360"/>
            </w:pPr>
            <w:r>
              <w:t>2</w:t>
            </w:r>
            <w:r w:rsidR="000E2E36">
              <w:t>0</w:t>
            </w:r>
            <w:r w:rsidR="00021F1A">
              <w:t>. Residents who have had a room change</w:t>
            </w:r>
          </w:p>
          <w:p w:rsidR="00021F1A" w:rsidRDefault="000A30E2" w:rsidP="00021F1A">
            <w:pPr>
              <w:ind w:left="360"/>
            </w:pPr>
            <w:r>
              <w:t>2</w:t>
            </w:r>
            <w:r w:rsidR="000E2E36">
              <w:t>1</w:t>
            </w:r>
            <w:r w:rsidR="00021F1A">
              <w:t>. Residents who have been involved in an abuse allegation or investigation.</w:t>
            </w:r>
          </w:p>
          <w:p w:rsidR="00EB7F69" w:rsidRDefault="00EB7F6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FB47D5" w:rsidRDefault="00FB47D5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3A7FC9" w:rsidRDefault="003A7FC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A23315" w:rsidRDefault="00A23315" w:rsidP="002A730C"/>
          <w:p w:rsidR="00A23315" w:rsidRDefault="00A23315" w:rsidP="002A730C"/>
          <w:p w:rsidR="00A23315" w:rsidRDefault="00A23315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2A730C"/>
          <w:p w:rsidR="00EB7F69" w:rsidRDefault="00EB7F69" w:rsidP="003C226E"/>
        </w:tc>
      </w:tr>
      <w:tr w:rsidR="00EB7F69" w:rsidTr="002A730C">
        <w:tc>
          <w:tcPr>
            <w:tcW w:w="2203" w:type="dxa"/>
          </w:tcPr>
          <w:p w:rsidR="00EB7F69" w:rsidRDefault="00EB7F69" w:rsidP="002A730C">
            <w:r>
              <w:t>Approved:</w:t>
            </w:r>
          </w:p>
        </w:tc>
        <w:tc>
          <w:tcPr>
            <w:tcW w:w="2203" w:type="dxa"/>
          </w:tcPr>
          <w:p w:rsidR="00EB7F69" w:rsidRDefault="00EB7F69" w:rsidP="002A730C">
            <w:r>
              <w:t>Effective Date:</w:t>
            </w:r>
          </w:p>
          <w:p w:rsidR="00BD590A" w:rsidRDefault="00BD590A" w:rsidP="002A730C"/>
          <w:p w:rsidR="00BD590A" w:rsidRDefault="00BD590A" w:rsidP="002A730C">
            <w:r>
              <w:t xml:space="preserve">           9/2010</w:t>
            </w:r>
          </w:p>
        </w:tc>
        <w:tc>
          <w:tcPr>
            <w:tcW w:w="2203" w:type="dxa"/>
          </w:tcPr>
          <w:p w:rsidR="00EB7F69" w:rsidRDefault="00EB7F69" w:rsidP="002A730C">
            <w:r>
              <w:t>Revision Date:</w:t>
            </w:r>
          </w:p>
          <w:p w:rsidR="00EB7F69" w:rsidRDefault="00EB7F69" w:rsidP="002A730C"/>
          <w:p w:rsidR="00EB7F69" w:rsidRDefault="00A23315" w:rsidP="002A730C">
            <w:r>
              <w:t xml:space="preserve">           6/2014</w:t>
            </w:r>
          </w:p>
        </w:tc>
        <w:tc>
          <w:tcPr>
            <w:tcW w:w="2203" w:type="dxa"/>
            <w:gridSpan w:val="2"/>
          </w:tcPr>
          <w:p w:rsidR="00EB7F69" w:rsidRDefault="00EB7F69" w:rsidP="002A730C">
            <w:r>
              <w:t>Change No.:</w:t>
            </w:r>
          </w:p>
        </w:tc>
        <w:tc>
          <w:tcPr>
            <w:tcW w:w="2276" w:type="dxa"/>
          </w:tcPr>
          <w:p w:rsidR="00EB7F69" w:rsidRDefault="00EB7F69" w:rsidP="002A730C">
            <w:r>
              <w:t>Page:</w:t>
            </w:r>
          </w:p>
          <w:p w:rsidR="00EB7F69" w:rsidRDefault="00EB7F69" w:rsidP="002A730C"/>
          <w:p w:rsidR="00EB7F69" w:rsidRDefault="00EB7F69" w:rsidP="002A730C">
            <w:r>
              <w:t xml:space="preserve">         </w:t>
            </w:r>
            <w:r w:rsidR="003C226E">
              <w:t>2 of 2</w:t>
            </w:r>
          </w:p>
          <w:p w:rsidR="00EB7F69" w:rsidRDefault="00EB7F69" w:rsidP="002A730C"/>
        </w:tc>
      </w:tr>
    </w:tbl>
    <w:p w:rsidR="00EB7F69" w:rsidRDefault="00EB7F69" w:rsidP="003C226E"/>
    <w:sectPr w:rsidR="00EB7F69" w:rsidSect="00B7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9C0" w:rsidRDefault="005F69C0" w:rsidP="0092393C">
      <w:r>
        <w:separator/>
      </w:r>
    </w:p>
  </w:endnote>
  <w:endnote w:type="continuationSeparator" w:id="0">
    <w:p w:rsidR="005F69C0" w:rsidRDefault="005F69C0" w:rsidP="0092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C" w:rsidRDefault="009239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C" w:rsidRDefault="009239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C" w:rsidRDefault="009239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9C0" w:rsidRDefault="005F69C0" w:rsidP="0092393C">
      <w:r>
        <w:separator/>
      </w:r>
    </w:p>
  </w:footnote>
  <w:footnote w:type="continuationSeparator" w:id="0">
    <w:p w:rsidR="005F69C0" w:rsidRDefault="005F69C0" w:rsidP="00923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C" w:rsidRDefault="009239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C" w:rsidRDefault="009239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3C" w:rsidRDefault="009239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78B1"/>
    <w:multiLevelType w:val="hybridMultilevel"/>
    <w:tmpl w:val="91CA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858ED"/>
    <w:multiLevelType w:val="hybridMultilevel"/>
    <w:tmpl w:val="91CA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20F76"/>
    <w:multiLevelType w:val="hybridMultilevel"/>
    <w:tmpl w:val="C208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005B0"/>
    <w:multiLevelType w:val="hybridMultilevel"/>
    <w:tmpl w:val="A4166338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C5BBD"/>
    <w:multiLevelType w:val="hybridMultilevel"/>
    <w:tmpl w:val="01660E0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C2A8E"/>
    <w:multiLevelType w:val="hybridMultilevel"/>
    <w:tmpl w:val="7C484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B15820"/>
    <w:multiLevelType w:val="hybridMultilevel"/>
    <w:tmpl w:val="91CA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5" w15:restartNumberingAfterBreak="0">
    <w:nsid w:val="4F3438D1"/>
    <w:multiLevelType w:val="hybridMultilevel"/>
    <w:tmpl w:val="2534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66950"/>
    <w:multiLevelType w:val="hybridMultilevel"/>
    <w:tmpl w:val="271A5B44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21"/>
  </w:num>
  <w:num w:numId="5">
    <w:abstractNumId w:val="0"/>
  </w:num>
  <w:num w:numId="6">
    <w:abstractNumId w:val="20"/>
  </w:num>
  <w:num w:numId="7">
    <w:abstractNumId w:val="32"/>
  </w:num>
  <w:num w:numId="8">
    <w:abstractNumId w:val="29"/>
  </w:num>
  <w:num w:numId="9">
    <w:abstractNumId w:val="3"/>
  </w:num>
  <w:num w:numId="10">
    <w:abstractNumId w:val="5"/>
  </w:num>
  <w:num w:numId="11">
    <w:abstractNumId w:val="22"/>
  </w:num>
  <w:num w:numId="12">
    <w:abstractNumId w:val="1"/>
  </w:num>
  <w:num w:numId="13">
    <w:abstractNumId w:val="13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30"/>
  </w:num>
  <w:num w:numId="19">
    <w:abstractNumId w:val="27"/>
  </w:num>
  <w:num w:numId="20">
    <w:abstractNumId w:val="11"/>
  </w:num>
  <w:num w:numId="21">
    <w:abstractNumId w:val="4"/>
  </w:num>
  <w:num w:numId="22">
    <w:abstractNumId w:val="28"/>
  </w:num>
  <w:num w:numId="23">
    <w:abstractNumId w:val="12"/>
  </w:num>
  <w:num w:numId="24">
    <w:abstractNumId w:val="26"/>
  </w:num>
  <w:num w:numId="25">
    <w:abstractNumId w:val="24"/>
  </w:num>
  <w:num w:numId="26">
    <w:abstractNumId w:val="6"/>
  </w:num>
  <w:num w:numId="27">
    <w:abstractNumId w:val="25"/>
  </w:num>
  <w:num w:numId="28">
    <w:abstractNumId w:val="14"/>
  </w:num>
  <w:num w:numId="29">
    <w:abstractNumId w:val="15"/>
  </w:num>
  <w:num w:numId="30">
    <w:abstractNumId w:val="7"/>
  </w:num>
  <w:num w:numId="31">
    <w:abstractNumId w:val="19"/>
  </w:num>
  <w:num w:numId="32">
    <w:abstractNumId w:val="10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21F1A"/>
    <w:rsid w:val="000A30E2"/>
    <w:rsid w:val="000E2E36"/>
    <w:rsid w:val="0011135C"/>
    <w:rsid w:val="001908A1"/>
    <w:rsid w:val="001A0C72"/>
    <w:rsid w:val="001C1497"/>
    <w:rsid w:val="001C4DE9"/>
    <w:rsid w:val="001F4527"/>
    <w:rsid w:val="00231CDA"/>
    <w:rsid w:val="002A730C"/>
    <w:rsid w:val="002E65ED"/>
    <w:rsid w:val="00333BB5"/>
    <w:rsid w:val="00342E28"/>
    <w:rsid w:val="00347ED8"/>
    <w:rsid w:val="0035540A"/>
    <w:rsid w:val="003A7FC9"/>
    <w:rsid w:val="003C226E"/>
    <w:rsid w:val="004602A8"/>
    <w:rsid w:val="00495518"/>
    <w:rsid w:val="004A3044"/>
    <w:rsid w:val="00510140"/>
    <w:rsid w:val="00511D1C"/>
    <w:rsid w:val="00533260"/>
    <w:rsid w:val="005915DC"/>
    <w:rsid w:val="005B31CA"/>
    <w:rsid w:val="005F69C0"/>
    <w:rsid w:val="00617068"/>
    <w:rsid w:val="00693714"/>
    <w:rsid w:val="00772973"/>
    <w:rsid w:val="0084125D"/>
    <w:rsid w:val="00863F06"/>
    <w:rsid w:val="00892567"/>
    <w:rsid w:val="008E5F8B"/>
    <w:rsid w:val="00914008"/>
    <w:rsid w:val="0092393C"/>
    <w:rsid w:val="00953EA7"/>
    <w:rsid w:val="009560CA"/>
    <w:rsid w:val="00977358"/>
    <w:rsid w:val="009A2EF3"/>
    <w:rsid w:val="009B7383"/>
    <w:rsid w:val="009E3269"/>
    <w:rsid w:val="009E67CD"/>
    <w:rsid w:val="00A23315"/>
    <w:rsid w:val="00A761F4"/>
    <w:rsid w:val="00A91B6D"/>
    <w:rsid w:val="00AA0FFF"/>
    <w:rsid w:val="00AA6257"/>
    <w:rsid w:val="00AF4E21"/>
    <w:rsid w:val="00B02F13"/>
    <w:rsid w:val="00B2514A"/>
    <w:rsid w:val="00B405E5"/>
    <w:rsid w:val="00B46C84"/>
    <w:rsid w:val="00B731B7"/>
    <w:rsid w:val="00B96F9E"/>
    <w:rsid w:val="00BC5BF6"/>
    <w:rsid w:val="00BD590A"/>
    <w:rsid w:val="00C12F1D"/>
    <w:rsid w:val="00C37945"/>
    <w:rsid w:val="00C7775D"/>
    <w:rsid w:val="00C826D3"/>
    <w:rsid w:val="00C87D03"/>
    <w:rsid w:val="00CB0518"/>
    <w:rsid w:val="00CB556F"/>
    <w:rsid w:val="00CF53BB"/>
    <w:rsid w:val="00CF6964"/>
    <w:rsid w:val="00D01EA7"/>
    <w:rsid w:val="00D22661"/>
    <w:rsid w:val="00D57123"/>
    <w:rsid w:val="00DB5138"/>
    <w:rsid w:val="00E53E2D"/>
    <w:rsid w:val="00EA510A"/>
    <w:rsid w:val="00EB7F69"/>
    <w:rsid w:val="00EE1934"/>
    <w:rsid w:val="00EF5AB3"/>
    <w:rsid w:val="00F5466C"/>
    <w:rsid w:val="00F7276B"/>
    <w:rsid w:val="00F8147F"/>
    <w:rsid w:val="00FB47D5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AD7968-17C5-4CDE-AAB0-E9446BE8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39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393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39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393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11D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C9E2-CF70-4CC4-8FDE-71AA2C6F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2014-06-05T19:50:00Z</cp:lastPrinted>
  <dcterms:created xsi:type="dcterms:W3CDTF">2018-09-12T18:48:00Z</dcterms:created>
  <dcterms:modified xsi:type="dcterms:W3CDTF">2018-09-12T18:48:00Z</dcterms:modified>
</cp:coreProperties>
</file>