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Pr="008D001A" w:rsidRDefault="00FC6D52" w:rsidP="00FC6D52">
            <w:pPr>
              <w:rPr>
                <w:rFonts w:ascii="Calibri" w:hAnsi="Calibri"/>
              </w:rPr>
            </w:pPr>
            <w:r>
              <w:t xml:space="preserve">SUBJECT: </w:t>
            </w:r>
            <w:r w:rsidR="00BC5BF6">
              <w:t xml:space="preserve"> </w:t>
            </w:r>
            <w:r w:rsidR="001F4527">
              <w:t xml:space="preserve">     </w:t>
            </w:r>
            <w:r w:rsidR="00391F67" w:rsidRPr="008D001A">
              <w:rPr>
                <w:rFonts w:ascii="Calibri" w:hAnsi="Calibri"/>
              </w:rPr>
              <w:t>SKIN CARE PROTOCOL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391F67" w:rsidRPr="008D001A" w:rsidRDefault="00CA5A2D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Certified nursing assistants</w:t>
            </w:r>
            <w:r w:rsidR="00391F67" w:rsidRPr="008D001A">
              <w:rPr>
                <w:rFonts w:ascii="Calibri" w:hAnsi="Calibri"/>
                <w:sz w:val="22"/>
                <w:szCs w:val="22"/>
              </w:rPr>
              <w:t xml:space="preserve"> are to notify the nurse of any changes of the skin while performing daily cares.  This includes completing a </w:t>
            </w:r>
            <w:r w:rsidR="006C5B21" w:rsidRPr="008D001A">
              <w:rPr>
                <w:rFonts w:ascii="Calibri" w:hAnsi="Calibri"/>
                <w:sz w:val="22"/>
                <w:szCs w:val="22"/>
              </w:rPr>
              <w:t xml:space="preserve">Skin Attention Form </w:t>
            </w:r>
            <w:r w:rsidR="00391F67" w:rsidRPr="008D001A">
              <w:rPr>
                <w:rFonts w:ascii="Calibri" w:hAnsi="Calibri"/>
                <w:sz w:val="22"/>
                <w:szCs w:val="22"/>
              </w:rPr>
              <w:t xml:space="preserve">on all residents when bathing or showering them.  </w:t>
            </w:r>
            <w:r w:rsidRPr="008D001A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8B0ECB" w:rsidRPr="008D001A">
              <w:rPr>
                <w:rFonts w:ascii="Calibri" w:hAnsi="Calibri"/>
                <w:sz w:val="22"/>
                <w:szCs w:val="22"/>
              </w:rPr>
              <w:t>C.N.A. Skin Attention Form</w:t>
            </w:r>
            <w:r w:rsidRPr="008D001A">
              <w:rPr>
                <w:rFonts w:ascii="Calibri" w:hAnsi="Calibri"/>
                <w:sz w:val="22"/>
                <w:szCs w:val="22"/>
              </w:rPr>
              <w:t xml:space="preserve"> is for QA purposes only and will be kept for 90 days by the </w:t>
            </w:r>
            <w:r w:rsidR="008B0ECB" w:rsidRPr="008D001A">
              <w:rPr>
                <w:rFonts w:ascii="Calibri" w:hAnsi="Calibri"/>
                <w:sz w:val="22"/>
                <w:szCs w:val="22"/>
              </w:rPr>
              <w:t>Wound Care Coordinator</w:t>
            </w:r>
            <w:r w:rsidRPr="008D001A">
              <w:rPr>
                <w:rFonts w:ascii="Calibri" w:hAnsi="Calibri"/>
                <w:sz w:val="22"/>
                <w:szCs w:val="22"/>
              </w:rPr>
              <w:t xml:space="preserve"> and then destroyed. </w:t>
            </w:r>
          </w:p>
          <w:p w:rsidR="00CA5A2D" w:rsidRPr="008D001A" w:rsidRDefault="00CA5A2D" w:rsidP="00CA5A2D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391F67" w:rsidRPr="008D001A" w:rsidRDefault="00391F67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 xml:space="preserve">The nurse will </w:t>
            </w:r>
            <w:r w:rsidR="008B0ECB" w:rsidRPr="008D001A">
              <w:rPr>
                <w:rFonts w:ascii="Calibri" w:hAnsi="Calibri"/>
                <w:sz w:val="22"/>
                <w:szCs w:val="22"/>
              </w:rPr>
              <w:t>complete a RiskWatch report for new skin areas</w:t>
            </w:r>
            <w:r w:rsidR="009B0181" w:rsidRPr="008D001A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8D001A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8B0ECB" w:rsidRPr="008D001A">
              <w:rPr>
                <w:rFonts w:ascii="Calibri" w:hAnsi="Calibri"/>
                <w:sz w:val="22"/>
                <w:szCs w:val="22"/>
              </w:rPr>
              <w:t>report will be reviewed by the DON or her designee during A.M. meeting with the IDT team and forwarded to the Wound Care Coordinator.</w:t>
            </w:r>
          </w:p>
          <w:p w:rsidR="00391F67" w:rsidRPr="008D001A" w:rsidRDefault="00391F67" w:rsidP="00391F67">
            <w:pPr>
              <w:rPr>
                <w:rFonts w:ascii="Calibri" w:hAnsi="Calibri"/>
                <w:sz w:val="22"/>
                <w:szCs w:val="22"/>
              </w:rPr>
            </w:pPr>
          </w:p>
          <w:p w:rsidR="00391F67" w:rsidRPr="008D001A" w:rsidRDefault="00391F67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The nurse will then notify the MD and obtain orders for appropriate treatment.</w:t>
            </w:r>
          </w:p>
          <w:p w:rsidR="00391F67" w:rsidRPr="008D001A" w:rsidRDefault="00391F67" w:rsidP="00391F67">
            <w:pPr>
              <w:rPr>
                <w:rFonts w:ascii="Calibri" w:hAnsi="Calibri"/>
                <w:sz w:val="22"/>
                <w:szCs w:val="22"/>
              </w:rPr>
            </w:pPr>
          </w:p>
          <w:p w:rsidR="00391F67" w:rsidRPr="008D001A" w:rsidRDefault="00391F67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 xml:space="preserve">The nurse will notify the dietary manager of any Stage II or greater.  </w:t>
            </w:r>
          </w:p>
          <w:p w:rsidR="008B0ECB" w:rsidRPr="008D001A" w:rsidRDefault="008B0ECB" w:rsidP="008B0EC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391F67" w:rsidRPr="008D001A" w:rsidRDefault="00391F67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8B0ECB" w:rsidRPr="008D001A">
              <w:rPr>
                <w:rFonts w:ascii="Calibri" w:hAnsi="Calibri"/>
                <w:sz w:val="22"/>
                <w:szCs w:val="22"/>
              </w:rPr>
              <w:t>Wound Care Coordinator</w:t>
            </w:r>
            <w:r w:rsidRPr="008D001A">
              <w:rPr>
                <w:rFonts w:ascii="Calibri" w:hAnsi="Calibri"/>
                <w:sz w:val="22"/>
                <w:szCs w:val="22"/>
              </w:rPr>
              <w:t xml:space="preserve"> will stage pressure ulcers</w:t>
            </w:r>
            <w:r w:rsidR="00843AEF" w:rsidRPr="008D001A">
              <w:rPr>
                <w:rFonts w:ascii="Calibri" w:hAnsi="Calibri"/>
                <w:sz w:val="22"/>
                <w:szCs w:val="22"/>
              </w:rPr>
              <w:t xml:space="preserve"> according to current staging guidelines</w:t>
            </w:r>
            <w:r w:rsidRPr="008D001A">
              <w:rPr>
                <w:rFonts w:ascii="Calibri" w:hAnsi="Calibri"/>
                <w:sz w:val="22"/>
                <w:szCs w:val="22"/>
              </w:rPr>
              <w:t>.</w:t>
            </w:r>
          </w:p>
          <w:p w:rsidR="00391F67" w:rsidRPr="008D001A" w:rsidRDefault="00391F67" w:rsidP="00391F67">
            <w:pPr>
              <w:rPr>
                <w:rFonts w:ascii="Calibri" w:hAnsi="Calibri"/>
                <w:sz w:val="22"/>
                <w:szCs w:val="22"/>
              </w:rPr>
            </w:pPr>
          </w:p>
          <w:p w:rsidR="00391F67" w:rsidRPr="008D001A" w:rsidRDefault="00391F67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Wounds will be assessed with each dressing change and at a minimum weekly.  They will be measured and charted on accordingly.</w:t>
            </w:r>
          </w:p>
          <w:p w:rsidR="00391F67" w:rsidRPr="008D001A" w:rsidRDefault="00391F67" w:rsidP="00391F67">
            <w:pPr>
              <w:rPr>
                <w:rFonts w:ascii="Calibri" w:hAnsi="Calibri"/>
                <w:sz w:val="22"/>
                <w:szCs w:val="22"/>
              </w:rPr>
            </w:pPr>
          </w:p>
          <w:p w:rsidR="00391F67" w:rsidRPr="008D001A" w:rsidRDefault="00391F67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 xml:space="preserve">Pain will be assessed with dressing changes and prn and charted using </w:t>
            </w:r>
            <w:r w:rsidR="00166C6B" w:rsidRPr="008D001A">
              <w:rPr>
                <w:rFonts w:ascii="Calibri" w:hAnsi="Calibri"/>
                <w:sz w:val="22"/>
                <w:szCs w:val="22"/>
              </w:rPr>
              <w:t>a numbered</w:t>
            </w:r>
            <w:r w:rsidRPr="008D001A">
              <w:rPr>
                <w:rFonts w:ascii="Calibri" w:hAnsi="Calibri"/>
                <w:sz w:val="22"/>
                <w:szCs w:val="22"/>
              </w:rPr>
              <w:t xml:space="preserve"> pain scale </w:t>
            </w:r>
            <w:r w:rsidR="00843AEF" w:rsidRPr="008D001A">
              <w:rPr>
                <w:rFonts w:ascii="Calibri" w:hAnsi="Calibri"/>
                <w:sz w:val="22"/>
                <w:szCs w:val="22"/>
              </w:rPr>
              <w:t>for</w:t>
            </w:r>
            <w:r w:rsidRPr="008D001A">
              <w:rPr>
                <w:rFonts w:ascii="Calibri" w:hAnsi="Calibri"/>
                <w:sz w:val="22"/>
                <w:szCs w:val="22"/>
              </w:rPr>
              <w:t xml:space="preserve"> the </w:t>
            </w:r>
            <w:r w:rsidR="00843AEF" w:rsidRPr="008D001A">
              <w:rPr>
                <w:rFonts w:ascii="Calibri" w:hAnsi="Calibri"/>
                <w:sz w:val="22"/>
                <w:szCs w:val="22"/>
              </w:rPr>
              <w:t xml:space="preserve">resident who is </w:t>
            </w:r>
            <w:r w:rsidRPr="008D001A">
              <w:rPr>
                <w:rFonts w:ascii="Calibri" w:hAnsi="Calibri"/>
                <w:sz w:val="22"/>
                <w:szCs w:val="22"/>
              </w:rPr>
              <w:t>cognitively intact.  Nonverbal cues will be assessed in the cognitively impaired.</w:t>
            </w:r>
          </w:p>
          <w:p w:rsidR="00391F67" w:rsidRPr="008D001A" w:rsidRDefault="00391F67" w:rsidP="00391F67">
            <w:pPr>
              <w:rPr>
                <w:rFonts w:ascii="Calibri" w:hAnsi="Calibri"/>
                <w:sz w:val="22"/>
                <w:szCs w:val="22"/>
              </w:rPr>
            </w:pPr>
          </w:p>
          <w:p w:rsidR="00391F67" w:rsidRPr="008D001A" w:rsidRDefault="00391F67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 xml:space="preserve">Weekly documentation to include ulcer location, stage, size, </w:t>
            </w:r>
            <w:r w:rsidR="008B0ECB" w:rsidRPr="008D001A">
              <w:rPr>
                <w:rFonts w:ascii="Calibri" w:hAnsi="Calibri"/>
                <w:sz w:val="22"/>
                <w:szCs w:val="22"/>
              </w:rPr>
              <w:t>on set date, place acquired, appearance, status, current treatment and dietary interventions</w:t>
            </w:r>
            <w:r w:rsidRPr="008D001A">
              <w:rPr>
                <w:rFonts w:ascii="Calibri" w:hAnsi="Calibri"/>
                <w:sz w:val="22"/>
                <w:szCs w:val="22"/>
              </w:rPr>
              <w:t>.</w:t>
            </w:r>
          </w:p>
          <w:p w:rsidR="00391F67" w:rsidRPr="008D001A" w:rsidRDefault="00391F67" w:rsidP="00391F67">
            <w:pPr>
              <w:rPr>
                <w:rFonts w:ascii="Calibri" w:hAnsi="Calibri"/>
                <w:sz w:val="22"/>
                <w:szCs w:val="22"/>
              </w:rPr>
            </w:pPr>
          </w:p>
          <w:p w:rsidR="00391F67" w:rsidRPr="008D001A" w:rsidRDefault="00391F67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If no progress is noted within 2-4 week time frame, the nurse will reassess the pressure ulcer for change in treatment.</w:t>
            </w:r>
          </w:p>
          <w:p w:rsidR="00391F67" w:rsidRPr="008D001A" w:rsidRDefault="00391F67" w:rsidP="00391F67">
            <w:pPr>
              <w:rPr>
                <w:rFonts w:ascii="Calibri" w:hAnsi="Calibri"/>
                <w:sz w:val="22"/>
                <w:szCs w:val="22"/>
              </w:rPr>
            </w:pPr>
          </w:p>
          <w:p w:rsidR="00391F67" w:rsidRPr="008D001A" w:rsidRDefault="00391F67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Incontinence should b</w:t>
            </w:r>
            <w:r w:rsidR="00843AEF" w:rsidRPr="008D001A">
              <w:rPr>
                <w:rFonts w:ascii="Calibri" w:hAnsi="Calibri"/>
                <w:sz w:val="22"/>
                <w:szCs w:val="22"/>
              </w:rPr>
              <w:t>e managed in the following ways:</w:t>
            </w:r>
          </w:p>
          <w:p w:rsidR="00391F67" w:rsidRPr="008D001A" w:rsidRDefault="00391F67" w:rsidP="00391F67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Establish a bowel and bladder program</w:t>
            </w:r>
            <w:r w:rsidR="004C629A" w:rsidRPr="008D001A">
              <w:rPr>
                <w:rFonts w:ascii="Calibri" w:hAnsi="Calibri"/>
                <w:sz w:val="22"/>
                <w:szCs w:val="22"/>
              </w:rPr>
              <w:t>,</w:t>
            </w:r>
            <w:r w:rsidRPr="008D001A">
              <w:rPr>
                <w:rFonts w:ascii="Calibri" w:hAnsi="Calibri"/>
                <w:sz w:val="22"/>
                <w:szCs w:val="22"/>
              </w:rPr>
              <w:t xml:space="preserve"> if appropriate.</w:t>
            </w:r>
          </w:p>
          <w:p w:rsidR="00391F67" w:rsidRPr="008D001A" w:rsidRDefault="00391F67" w:rsidP="00391F67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 xml:space="preserve">Cleanse skin gently at each time of soiling with </w:t>
            </w:r>
            <w:r w:rsidR="00843AEF" w:rsidRPr="008D001A">
              <w:rPr>
                <w:rFonts w:ascii="Calibri" w:hAnsi="Calibri"/>
                <w:sz w:val="22"/>
                <w:szCs w:val="22"/>
              </w:rPr>
              <w:t xml:space="preserve">pre-moistened towelettes or </w:t>
            </w:r>
            <w:r w:rsidRPr="008D001A">
              <w:rPr>
                <w:rFonts w:ascii="Calibri" w:hAnsi="Calibri"/>
                <w:sz w:val="22"/>
                <w:szCs w:val="22"/>
              </w:rPr>
              <w:t>soap and water.</w:t>
            </w:r>
          </w:p>
          <w:p w:rsidR="00391F67" w:rsidRPr="008D001A" w:rsidRDefault="00391F67" w:rsidP="00391F67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Use incontinence skin barriers per Winning Wheels formulary.</w:t>
            </w:r>
          </w:p>
          <w:p w:rsidR="00391F67" w:rsidRPr="008D001A" w:rsidRDefault="00391F67" w:rsidP="00391F67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Select under pads</w:t>
            </w:r>
            <w:r w:rsidR="00843AEF" w:rsidRPr="008D001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001A">
              <w:rPr>
                <w:rFonts w:ascii="Calibri" w:hAnsi="Calibri"/>
                <w:sz w:val="22"/>
                <w:szCs w:val="22"/>
              </w:rPr>
              <w:t>or briefs that are absorbent and wick moisture away from the skin.</w:t>
            </w:r>
          </w:p>
          <w:p w:rsidR="00391F67" w:rsidRPr="008D001A" w:rsidRDefault="00391F67" w:rsidP="00391F67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Consider use of pouching system or collection device to contain urine or stool.</w:t>
            </w:r>
          </w:p>
          <w:p w:rsidR="00391F67" w:rsidRPr="008D001A" w:rsidRDefault="00391F67" w:rsidP="00391F67">
            <w:pPr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Consider appropriateness of short term indwelling catheter to prevent contamination of pressure ulcer.</w:t>
            </w:r>
          </w:p>
          <w:p w:rsidR="00953EA7" w:rsidRPr="008D001A" w:rsidRDefault="00953EA7" w:rsidP="00FC6D52">
            <w:pPr>
              <w:rPr>
                <w:rFonts w:ascii="Calibri" w:hAnsi="Calibri"/>
                <w:sz w:val="22"/>
                <w:szCs w:val="22"/>
              </w:rPr>
            </w:pPr>
          </w:p>
          <w:p w:rsidR="008D001A" w:rsidRPr="008D001A" w:rsidRDefault="008D001A" w:rsidP="008D001A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Treatment will be based on stage of pressure ulcer, Winning Wheel’s current wound formulary and physician orders.</w:t>
            </w:r>
          </w:p>
          <w:p w:rsidR="008D001A" w:rsidRPr="008D001A" w:rsidRDefault="008D001A" w:rsidP="008D001A">
            <w:pPr>
              <w:rPr>
                <w:rFonts w:ascii="Calibri" w:hAnsi="Calibri"/>
                <w:sz w:val="22"/>
                <w:szCs w:val="22"/>
              </w:rPr>
            </w:pPr>
          </w:p>
          <w:p w:rsidR="008D001A" w:rsidRPr="008D001A" w:rsidRDefault="008D001A" w:rsidP="008D001A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Use proper positioning, turning, and transferring techniques to minimize skin injury due to friction and shear forces.</w:t>
            </w:r>
          </w:p>
          <w:p w:rsidR="006C5B21" w:rsidRDefault="006C5B21" w:rsidP="00FC6D52"/>
          <w:p w:rsidR="008D001A" w:rsidRDefault="008D001A" w:rsidP="00FC6D52"/>
          <w:p w:rsidR="00843AEF" w:rsidRDefault="00843AEF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B02680" w:rsidRDefault="00FC6D52" w:rsidP="00B02680">
            <w:r>
              <w:t>Effective</w:t>
            </w:r>
            <w:r w:rsidR="000001EB">
              <w:t xml:space="preserve"> </w:t>
            </w:r>
            <w:r>
              <w:t>Date:</w:t>
            </w:r>
            <w:r w:rsidR="00B02680">
              <w:t xml:space="preserve"> </w:t>
            </w:r>
          </w:p>
          <w:p w:rsidR="00B02680" w:rsidRDefault="00B02680" w:rsidP="00B02680"/>
          <w:p w:rsidR="00FC6D52" w:rsidRDefault="00B02680" w:rsidP="008D001A">
            <w:r>
              <w:t xml:space="preserve">         </w:t>
            </w:r>
            <w:r w:rsidR="008D001A">
              <w:t>7/2010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8D001A" w:rsidRDefault="008D001A" w:rsidP="008D001A">
            <w:r>
              <w:t xml:space="preserve">   4/2011;   8/2012;    </w:t>
            </w:r>
          </w:p>
          <w:p w:rsidR="009E67CD" w:rsidRDefault="008D001A" w:rsidP="008D001A">
            <w:r>
              <w:t xml:space="preserve">   6/2014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391F67">
              <w:t>1 of 2</w:t>
            </w:r>
          </w:p>
          <w:p w:rsidR="00FC6D52" w:rsidRDefault="00FC6D52" w:rsidP="00FC6D52"/>
        </w:tc>
      </w:tr>
    </w:tbl>
    <w:p w:rsidR="00B731B7" w:rsidRDefault="00B731B7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EB7F69" w:rsidP="002A730C">
            <w:r>
              <w:t xml:space="preserve">SUBJECT:       </w:t>
            </w:r>
            <w:r w:rsidR="00391F67" w:rsidRPr="008D001A">
              <w:rPr>
                <w:rFonts w:ascii="Calibri" w:hAnsi="Calibri"/>
              </w:rPr>
              <w:t>SKIN CARE PROTOCOL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391F67" w:rsidRPr="008D001A" w:rsidRDefault="00391F67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 xml:space="preserve">Educate residents who are cognitively </w:t>
            </w:r>
            <w:r w:rsidR="00404C2C" w:rsidRPr="008D001A">
              <w:rPr>
                <w:rFonts w:ascii="Calibri" w:hAnsi="Calibri"/>
                <w:sz w:val="22"/>
                <w:szCs w:val="22"/>
              </w:rPr>
              <w:t xml:space="preserve">intact and </w:t>
            </w:r>
            <w:r w:rsidRPr="008D001A">
              <w:rPr>
                <w:rFonts w:ascii="Calibri" w:hAnsi="Calibri"/>
                <w:sz w:val="22"/>
                <w:szCs w:val="22"/>
              </w:rPr>
              <w:t>able to reposition self frequently throughout the day.</w:t>
            </w:r>
          </w:p>
          <w:p w:rsidR="00391F67" w:rsidRPr="008D001A" w:rsidRDefault="00391F67" w:rsidP="00391F67">
            <w:pPr>
              <w:rPr>
                <w:rFonts w:ascii="Calibri" w:hAnsi="Calibri"/>
                <w:sz w:val="22"/>
                <w:szCs w:val="22"/>
              </w:rPr>
            </w:pPr>
          </w:p>
          <w:p w:rsidR="00391F67" w:rsidRPr="008D001A" w:rsidRDefault="00391F67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Assess pressure ulcer and surrounding skin for any signs of infection and notify MD.</w:t>
            </w:r>
          </w:p>
          <w:p w:rsidR="00391F67" w:rsidRPr="008D001A" w:rsidRDefault="00391F67" w:rsidP="00391F67">
            <w:pPr>
              <w:rPr>
                <w:rFonts w:ascii="Calibri" w:hAnsi="Calibri"/>
                <w:sz w:val="22"/>
                <w:szCs w:val="22"/>
              </w:rPr>
            </w:pPr>
          </w:p>
          <w:p w:rsidR="00391F67" w:rsidRPr="008D001A" w:rsidRDefault="00391F67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>Weekly skin checks to be done by licensed nurse and documented on the appropriate forms.</w:t>
            </w:r>
          </w:p>
          <w:p w:rsidR="00391F67" w:rsidRPr="008D001A" w:rsidRDefault="00391F67" w:rsidP="00391F67">
            <w:pPr>
              <w:rPr>
                <w:rFonts w:ascii="Calibri" w:hAnsi="Calibri"/>
                <w:sz w:val="22"/>
                <w:szCs w:val="22"/>
              </w:rPr>
            </w:pPr>
          </w:p>
          <w:p w:rsidR="00391F67" w:rsidRPr="008D001A" w:rsidRDefault="00C10FFF" w:rsidP="00391F67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8D001A">
              <w:rPr>
                <w:rFonts w:ascii="Calibri" w:hAnsi="Calibri"/>
                <w:sz w:val="22"/>
                <w:szCs w:val="22"/>
              </w:rPr>
              <w:t xml:space="preserve"> If appropriate, i</w:t>
            </w:r>
            <w:r w:rsidR="00391F67" w:rsidRPr="008D001A">
              <w:rPr>
                <w:rFonts w:ascii="Calibri" w:hAnsi="Calibri"/>
                <w:sz w:val="22"/>
                <w:szCs w:val="22"/>
              </w:rPr>
              <w:t>nitiate a rehabilitation program to maintain or improve mobility/activity status</w:t>
            </w:r>
            <w:r w:rsidRPr="008D001A">
              <w:rPr>
                <w:rFonts w:ascii="Calibri" w:hAnsi="Calibri"/>
                <w:sz w:val="22"/>
                <w:szCs w:val="22"/>
              </w:rPr>
              <w:t>.</w:t>
            </w:r>
          </w:p>
          <w:p w:rsidR="00EB7F69" w:rsidRDefault="00EB7F69" w:rsidP="002A730C"/>
          <w:p w:rsidR="00EB7F69" w:rsidRDefault="00EB7F69" w:rsidP="002A730C"/>
          <w:p w:rsidR="00EB7F69" w:rsidRDefault="00EB7F69" w:rsidP="002A730C">
            <w:r>
              <w:t xml:space="preserve"> </w:t>
            </w:r>
          </w:p>
          <w:p w:rsidR="00EB7F69" w:rsidRDefault="00EB7F69" w:rsidP="002A730C">
            <w:pPr>
              <w:ind w:left="405"/>
            </w:pP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8D001A" w:rsidRDefault="008D001A" w:rsidP="002A730C"/>
          <w:p w:rsidR="008D001A" w:rsidRDefault="008D001A" w:rsidP="002A730C"/>
          <w:p w:rsidR="008D001A" w:rsidRDefault="008D001A" w:rsidP="002A730C"/>
          <w:p w:rsidR="008D001A" w:rsidRDefault="008D001A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B02680" w:rsidRDefault="00EB7F69" w:rsidP="00B02680">
            <w:r>
              <w:t>Effective Date:</w:t>
            </w:r>
            <w:r w:rsidR="00B02680">
              <w:t xml:space="preserve"> </w:t>
            </w:r>
          </w:p>
          <w:p w:rsidR="00B02680" w:rsidRDefault="00B02680" w:rsidP="00B02680"/>
          <w:p w:rsidR="00EB7F69" w:rsidRDefault="00B02680" w:rsidP="008D001A">
            <w:r>
              <w:t xml:space="preserve">         </w:t>
            </w:r>
            <w:r w:rsidR="008D001A">
              <w:t>7/2010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8D001A" w:rsidRDefault="008D001A" w:rsidP="008D001A">
            <w:r>
              <w:t xml:space="preserve">   4/2011;   8/2012;    </w:t>
            </w:r>
          </w:p>
          <w:p w:rsidR="00EB7F69" w:rsidRDefault="008D001A" w:rsidP="008D001A">
            <w:r>
              <w:t xml:space="preserve">   6/2014</w:t>
            </w:r>
          </w:p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391F67">
              <w:t>2 of 2</w:t>
            </w:r>
          </w:p>
          <w:p w:rsidR="00EB7F69" w:rsidRDefault="00EB7F69" w:rsidP="002A730C"/>
        </w:tc>
      </w:tr>
    </w:tbl>
    <w:p w:rsidR="00EB7F69" w:rsidRDefault="00EB7F69" w:rsidP="00391F67"/>
    <w:sectPr w:rsidR="00EB7F69" w:rsidSect="00B7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D0" w:rsidRDefault="00D804D0" w:rsidP="00CA5A2D">
      <w:r>
        <w:separator/>
      </w:r>
    </w:p>
  </w:endnote>
  <w:endnote w:type="continuationSeparator" w:id="0">
    <w:p w:rsidR="00D804D0" w:rsidRDefault="00D804D0" w:rsidP="00CA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D" w:rsidRDefault="00CA5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D" w:rsidRDefault="00CA5A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D" w:rsidRDefault="00CA5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D0" w:rsidRDefault="00D804D0" w:rsidP="00CA5A2D">
      <w:r>
        <w:separator/>
      </w:r>
    </w:p>
  </w:footnote>
  <w:footnote w:type="continuationSeparator" w:id="0">
    <w:p w:rsidR="00D804D0" w:rsidRDefault="00D804D0" w:rsidP="00CA5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D" w:rsidRDefault="00CA5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D" w:rsidRDefault="00CA5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D" w:rsidRDefault="00CA5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EB5401B"/>
    <w:multiLevelType w:val="hybridMultilevel"/>
    <w:tmpl w:val="0C080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58D4"/>
    <w:multiLevelType w:val="hybridMultilevel"/>
    <w:tmpl w:val="C130F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0">
    <w:nsid w:val="4E61166A"/>
    <w:multiLevelType w:val="hybridMultilevel"/>
    <w:tmpl w:val="9B324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E12EF7"/>
    <w:multiLevelType w:val="hybridMultilevel"/>
    <w:tmpl w:val="16FE6EC0"/>
    <w:lvl w:ilvl="0" w:tplc="A66AE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16"/>
  </w:num>
  <w:num w:numId="5">
    <w:abstractNumId w:val="0"/>
  </w:num>
  <w:num w:numId="6">
    <w:abstractNumId w:val="15"/>
  </w:num>
  <w:num w:numId="7">
    <w:abstractNumId w:val="28"/>
  </w:num>
  <w:num w:numId="8">
    <w:abstractNumId w:val="24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5"/>
  </w:num>
  <w:num w:numId="19">
    <w:abstractNumId w:val="22"/>
  </w:num>
  <w:num w:numId="20">
    <w:abstractNumId w:val="7"/>
  </w:num>
  <w:num w:numId="21">
    <w:abstractNumId w:val="3"/>
  </w:num>
  <w:num w:numId="22">
    <w:abstractNumId w:val="23"/>
  </w:num>
  <w:num w:numId="23">
    <w:abstractNumId w:val="8"/>
  </w:num>
  <w:num w:numId="24">
    <w:abstractNumId w:val="21"/>
  </w:num>
  <w:num w:numId="25">
    <w:abstractNumId w:val="19"/>
  </w:num>
  <w:num w:numId="26">
    <w:abstractNumId w:val="14"/>
  </w:num>
  <w:num w:numId="27">
    <w:abstractNumId w:val="26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22BC9"/>
    <w:rsid w:val="000D2544"/>
    <w:rsid w:val="000F6928"/>
    <w:rsid w:val="00166C6B"/>
    <w:rsid w:val="001908A1"/>
    <w:rsid w:val="001C4DE9"/>
    <w:rsid w:val="001F4527"/>
    <w:rsid w:val="00231CDA"/>
    <w:rsid w:val="002A730C"/>
    <w:rsid w:val="00333BB5"/>
    <w:rsid w:val="00347ED8"/>
    <w:rsid w:val="00391F67"/>
    <w:rsid w:val="00404C2C"/>
    <w:rsid w:val="004602A8"/>
    <w:rsid w:val="00495518"/>
    <w:rsid w:val="004A3044"/>
    <w:rsid w:val="004B350E"/>
    <w:rsid w:val="004C629A"/>
    <w:rsid w:val="00510140"/>
    <w:rsid w:val="00553F70"/>
    <w:rsid w:val="005915DC"/>
    <w:rsid w:val="005B31CA"/>
    <w:rsid w:val="005B57E0"/>
    <w:rsid w:val="00617068"/>
    <w:rsid w:val="00693714"/>
    <w:rsid w:val="006C5B21"/>
    <w:rsid w:val="00772973"/>
    <w:rsid w:val="007D21D8"/>
    <w:rsid w:val="0084125D"/>
    <w:rsid w:val="00843AEF"/>
    <w:rsid w:val="00863F06"/>
    <w:rsid w:val="008B0ECB"/>
    <w:rsid w:val="008D001A"/>
    <w:rsid w:val="008E5F8B"/>
    <w:rsid w:val="00953EA7"/>
    <w:rsid w:val="009560CA"/>
    <w:rsid w:val="00977358"/>
    <w:rsid w:val="009B0181"/>
    <w:rsid w:val="009B7383"/>
    <w:rsid w:val="009E3269"/>
    <w:rsid w:val="009E67CD"/>
    <w:rsid w:val="00A91B6D"/>
    <w:rsid w:val="00AF4E21"/>
    <w:rsid w:val="00B02680"/>
    <w:rsid w:val="00B02F13"/>
    <w:rsid w:val="00B2514A"/>
    <w:rsid w:val="00B405E5"/>
    <w:rsid w:val="00B46C84"/>
    <w:rsid w:val="00B47DB7"/>
    <w:rsid w:val="00B731B7"/>
    <w:rsid w:val="00B96F9E"/>
    <w:rsid w:val="00BC0AF9"/>
    <w:rsid w:val="00BC5BF6"/>
    <w:rsid w:val="00BF594B"/>
    <w:rsid w:val="00C10FFF"/>
    <w:rsid w:val="00C12F1D"/>
    <w:rsid w:val="00C37945"/>
    <w:rsid w:val="00C56D7D"/>
    <w:rsid w:val="00C7775D"/>
    <w:rsid w:val="00C826D3"/>
    <w:rsid w:val="00C87D03"/>
    <w:rsid w:val="00CA5A2D"/>
    <w:rsid w:val="00CB556F"/>
    <w:rsid w:val="00CF6964"/>
    <w:rsid w:val="00D01EA7"/>
    <w:rsid w:val="00D22661"/>
    <w:rsid w:val="00D804D0"/>
    <w:rsid w:val="00DC45E7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A5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A2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5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A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0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</cp:lastModifiedBy>
  <cp:revision>2</cp:revision>
  <cp:lastPrinted>2007-04-09T20:07:00Z</cp:lastPrinted>
  <dcterms:created xsi:type="dcterms:W3CDTF">2018-09-14T13:27:00Z</dcterms:created>
  <dcterms:modified xsi:type="dcterms:W3CDTF">2018-09-14T13:27:00Z</dcterms:modified>
</cp:coreProperties>
</file>