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1D3">
            <w:bookmarkStart w:id="0" w:name="_GoBack"/>
            <w:bookmarkEnd w:id="0"/>
          </w:p>
          <w:p w:rsidR="00000000" w:rsidRDefault="00A971D3" w:rsidP="00A971D3">
            <w:pPr>
              <w:pStyle w:val="ListParagraph"/>
            </w:pPr>
            <w:r>
              <w:t xml:space="preserve"> </w:t>
            </w:r>
            <w:r>
              <w:rPr>
                <w:sz w:val="22"/>
              </w:rPr>
              <w:t xml:space="preserve">              PURPOSE, USE AND PHILOSOPHY OF MANUAL</w:t>
            </w:r>
          </w:p>
          <w:p w:rsidR="00000000" w:rsidRDefault="00A971D3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1D3"/>
          <w:p w:rsidR="00000000" w:rsidRDefault="00A971D3">
            <w:r>
              <w:t>NO.</w:t>
            </w:r>
            <w:r>
              <w:rPr>
                <w:sz w:val="22"/>
              </w:rPr>
              <w:t xml:space="preserve">    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1D3"/>
          <w:p w:rsidR="00000000" w:rsidRDefault="00A971D3"/>
          <w:p w:rsidR="00000000" w:rsidRDefault="00A971D3">
            <w:pPr>
              <w:pStyle w:val="Heading1"/>
            </w:pPr>
            <w:r>
              <w:t>POLICY</w:t>
            </w:r>
          </w:p>
          <w:p w:rsidR="00000000" w:rsidRDefault="00A971D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540" w:right="792"/>
              <w:rPr>
                <w:sz w:val="22"/>
              </w:rPr>
            </w:pPr>
            <w:r>
              <w:rPr>
                <w:sz w:val="22"/>
              </w:rPr>
              <w:t>The facility publishes an Administrative Policy and Procedure Manual, which outlines philosophy, practice and activities.</w:t>
            </w: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pStyle w:val="Heading1"/>
            </w:pPr>
            <w:r>
              <w:t>PROCEDURES</w:t>
            </w:r>
          </w:p>
          <w:p w:rsidR="00000000" w:rsidRDefault="00A971D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This manual contains the major Ad</w:t>
            </w:r>
            <w:r>
              <w:rPr>
                <w:sz w:val="22"/>
              </w:rPr>
              <w:t>ministrative policies affecting the operation of the facility.</w:t>
            </w: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  <w:r>
              <w:rPr>
                <w:sz w:val="22"/>
              </w:rPr>
              <w:t>2-.</w:t>
            </w:r>
            <w:r>
              <w:rPr>
                <w:sz w:val="22"/>
              </w:rPr>
              <w:tab/>
              <w:t>It is intended as a guide to consistent action within the facility to reduce the possibility of misunderstanding and managerial problems.</w:t>
            </w: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It is not intended as a substitute for good judgment in the day- to- day management of the facility.</w:t>
            </w: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Policies are listed by general headings in the table of contents and in subject order of the index.</w:t>
            </w: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Supervisors are obligated to become familiar with its contents.</w:t>
            </w: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The public, staff, reside</w:t>
            </w:r>
            <w:r>
              <w:rPr>
                <w:sz w:val="22"/>
              </w:rPr>
              <w:t>nts, regulatory and accreditation authorities, have a right to unlimited access to this information.</w:t>
            </w: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pStyle w:val="BodyTextIndent3"/>
              <w:tabs>
                <w:tab w:val="clear" w:pos="0"/>
                <w:tab w:val="clear" w:pos="1728"/>
                <w:tab w:val="clear" w:pos="10800"/>
                <w:tab w:val="left" w:pos="540"/>
                <w:tab w:val="left" w:pos="1440"/>
              </w:tabs>
              <w:spacing w:line="240" w:lineRule="auto"/>
              <w:ind w:left="540" w:right="792" w:firstLine="0"/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When further classification is necessary, the Administrator is available for guidance.</w:t>
            </w:r>
          </w:p>
          <w:p w:rsidR="00000000" w:rsidRDefault="00A971D3">
            <w:pPr>
              <w:tabs>
                <w:tab w:val="left" w:pos="540"/>
                <w:tab w:val="left" w:pos="1008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pStyle w:val="BodyText2"/>
              <w:tabs>
                <w:tab w:val="clear" w:pos="0"/>
                <w:tab w:val="clear" w:pos="10800"/>
                <w:tab w:val="left" w:pos="540"/>
              </w:tabs>
              <w:ind w:left="540" w:right="792" w:firstLine="0"/>
            </w:pPr>
            <w:r>
              <w:t>8.</w:t>
            </w:r>
            <w:r>
              <w:tab/>
              <w:t>The Policies and Procedures will be revised and updated as needed, and required by regulatory or accreditation bodies.</w:t>
            </w:r>
          </w:p>
          <w:p w:rsidR="00000000" w:rsidRDefault="00A971D3">
            <w:pPr>
              <w:tabs>
                <w:tab w:val="left" w:pos="540"/>
                <w:tab w:val="left" w:pos="1008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540" w:right="792"/>
              <w:rPr>
                <w:sz w:val="22"/>
              </w:rPr>
            </w:pPr>
            <w:r>
              <w:rPr>
                <w:sz w:val="22"/>
              </w:rPr>
              <w:t>9.  This manual is the property of Winning Wheels, Inc.</w:t>
            </w: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5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540" w:right="792"/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A971D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1D3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1D3">
            <w:r>
              <w:t>Effective</w:t>
            </w:r>
          </w:p>
          <w:p w:rsidR="00000000" w:rsidRDefault="00A971D3">
            <w:r>
              <w:t>Date:</w:t>
            </w:r>
          </w:p>
          <w:p w:rsidR="00000000" w:rsidRDefault="00A971D3">
            <w:r>
              <w:t xml:space="preserve">                 3/86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1D3">
            <w:r>
              <w:t>Revision</w:t>
            </w:r>
          </w:p>
          <w:p w:rsidR="00000000" w:rsidRDefault="00A971D3">
            <w:r>
              <w:t>Date:</w:t>
            </w:r>
          </w:p>
          <w:p w:rsidR="00000000" w:rsidRDefault="00A971D3">
            <w:r>
              <w:t xml:space="preserve">              1/95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1D3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1D3">
            <w:r>
              <w:t>Page:</w:t>
            </w:r>
          </w:p>
          <w:p w:rsidR="00000000" w:rsidRDefault="00A971D3"/>
          <w:p w:rsidR="00000000" w:rsidRDefault="00A971D3">
            <w:r>
              <w:t xml:space="preserve">               1 of </w:t>
            </w:r>
            <w:r>
              <w:t>1</w:t>
            </w:r>
          </w:p>
          <w:p w:rsidR="00000000" w:rsidRDefault="00A971D3"/>
        </w:tc>
      </w:tr>
    </w:tbl>
    <w:p w:rsidR="00000000" w:rsidRDefault="00A971D3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1D3"/>
    <w:rsid w:val="00A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B32D7-E503-4A70-B124-DDC33770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40" w:right="792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tabs>
        <w:tab w:val="left" w:pos="0"/>
        <w:tab w:val="left" w:pos="1008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ind w:left="1728" w:hanging="720"/>
    </w:pPr>
    <w:rPr>
      <w:sz w:val="22"/>
    </w:rPr>
  </w:style>
  <w:style w:type="paragraph" w:styleId="BodyText2">
    <w:name w:val="Body Text 2"/>
    <w:basedOn w:val="Normal"/>
    <w:pPr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1440" w:hanging="432"/>
    </w:pPr>
    <w:rPr>
      <w:noProof/>
      <w:sz w:val="22"/>
    </w:rPr>
  </w:style>
  <w:style w:type="paragraph" w:styleId="ListParagraph">
    <w:name w:val="List Paragraph"/>
    <w:basedOn w:val="Normal"/>
    <w:uiPriority w:val="34"/>
    <w:qFormat/>
    <w:rsid w:val="00A971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>American Health Enterprises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2018-09-12T18:36:00Z</dcterms:created>
  <dcterms:modified xsi:type="dcterms:W3CDTF">2018-09-12T18:36:00Z</dcterms:modified>
</cp:coreProperties>
</file>