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5E3398">
        <w:tc>
          <w:tcPr>
            <w:tcW w:w="8748" w:type="dxa"/>
            <w:gridSpan w:val="4"/>
            <w:shd w:val="clear" w:color="auto" w:fill="auto"/>
            <w:vAlign w:val="center"/>
          </w:tcPr>
          <w:p w:rsidR="00B731B7" w:rsidRDefault="00B731B7" w:rsidP="00B731B7">
            <w:bookmarkStart w:id="0" w:name="_GoBack"/>
            <w:bookmarkEnd w:id="0"/>
          </w:p>
          <w:p w:rsidR="00B731B7" w:rsidRDefault="00467733" w:rsidP="00467733">
            <w:pPr>
              <w:pStyle w:val="ListParagraph"/>
            </w:pPr>
            <w:r>
              <w:t xml:space="preserve"> </w:t>
            </w:r>
            <w:r w:rsidR="00870082">
              <w:t xml:space="preserve"> </w:t>
            </w:r>
            <w:r w:rsidR="005E3398">
              <w:t>OCCUPATIONAL EXPOSURE TRAINING PROGRAM</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5E3398">
        <w:tc>
          <w:tcPr>
            <w:tcW w:w="11088" w:type="dxa"/>
            <w:gridSpan w:val="6"/>
            <w:shd w:val="clear" w:color="auto" w:fill="auto"/>
          </w:tcPr>
          <w:p w:rsidR="00B731B7" w:rsidRDefault="00B731B7"/>
          <w:p w:rsidR="005E3398" w:rsidRDefault="005E3398" w:rsidP="005E3398">
            <w:r>
              <w:t>Employees will receive training in the Bloodborne Pathogens Standard within 90 days of their initial assignment and annually thereafter.  Training will take place during working hours and be at no cost to the employee.  Winning Wheels will provide additional training when new tasks or procedures are introduced that affect the employee's risk of occupational exposure.  Employers shall assure that employees are allowed to participate in work activities involving infectious agents after training has been received and proficiency has been demonstrated.</w:t>
            </w:r>
          </w:p>
          <w:p w:rsidR="005E3398" w:rsidRDefault="005E3398" w:rsidP="005E3398"/>
          <w:p w:rsidR="005E3398" w:rsidRDefault="005E3398" w:rsidP="005E3398">
            <w:pPr>
              <w:spacing w:after="240"/>
            </w:pPr>
            <w:r>
              <w:t>Training programs must include at least the following:</w:t>
            </w:r>
          </w:p>
          <w:p w:rsidR="005E3398" w:rsidRDefault="005E3398" w:rsidP="005E3398">
            <w:pPr>
              <w:numPr>
                <w:ilvl w:val="0"/>
                <w:numId w:val="2"/>
              </w:numPr>
              <w:overflowPunct w:val="0"/>
              <w:autoSpaceDE w:val="0"/>
              <w:autoSpaceDN w:val="0"/>
              <w:adjustRightInd w:val="0"/>
              <w:spacing w:after="240"/>
              <w:ind w:left="720"/>
              <w:textAlignment w:val="baseline"/>
            </w:pPr>
            <w:r>
              <w:t>An explanation and accessible copy of the regulatory text.</w:t>
            </w:r>
          </w:p>
          <w:p w:rsidR="005E3398" w:rsidRDefault="005E3398" w:rsidP="005E3398">
            <w:pPr>
              <w:numPr>
                <w:ilvl w:val="0"/>
                <w:numId w:val="2"/>
              </w:numPr>
              <w:overflowPunct w:val="0"/>
              <w:autoSpaceDE w:val="0"/>
              <w:autoSpaceDN w:val="0"/>
              <w:adjustRightInd w:val="0"/>
              <w:spacing w:after="240"/>
              <w:ind w:left="720"/>
              <w:textAlignment w:val="baseline"/>
            </w:pPr>
            <w:r>
              <w:t>An explanation of the epidemiology and symptoms of bloodborne diseases, including modes of transmission.</w:t>
            </w:r>
          </w:p>
          <w:p w:rsidR="005E3398" w:rsidRDefault="005E3398" w:rsidP="005E3398">
            <w:pPr>
              <w:numPr>
                <w:ilvl w:val="0"/>
                <w:numId w:val="2"/>
              </w:numPr>
              <w:overflowPunct w:val="0"/>
              <w:autoSpaceDE w:val="0"/>
              <w:autoSpaceDN w:val="0"/>
              <w:adjustRightInd w:val="0"/>
              <w:spacing w:after="240"/>
              <w:ind w:left="720"/>
              <w:textAlignment w:val="baseline"/>
            </w:pPr>
            <w:r>
              <w:t>An explanation of the facility's written Exposure Control Plan and how to obtain a copy.</w:t>
            </w:r>
          </w:p>
          <w:p w:rsidR="005E3398" w:rsidRDefault="005E3398" w:rsidP="005E3398">
            <w:pPr>
              <w:pStyle w:val="BodyText"/>
              <w:numPr>
                <w:ilvl w:val="0"/>
                <w:numId w:val="2"/>
              </w:numPr>
              <w:tabs>
                <w:tab w:val="left" w:pos="720"/>
              </w:tabs>
              <w:spacing w:after="240"/>
              <w:ind w:left="720"/>
            </w:pPr>
            <w:r>
              <w:t>Methods for recognizing tasks that may involve exposure to blood or other potentially infectious materials.</w:t>
            </w:r>
          </w:p>
          <w:p w:rsidR="005E3398" w:rsidRDefault="005E3398" w:rsidP="005E3398">
            <w:pPr>
              <w:numPr>
                <w:ilvl w:val="0"/>
                <w:numId w:val="2"/>
              </w:numPr>
              <w:overflowPunct w:val="0"/>
              <w:autoSpaceDE w:val="0"/>
              <w:autoSpaceDN w:val="0"/>
              <w:adjustRightInd w:val="0"/>
              <w:spacing w:after="240"/>
              <w:ind w:left="720"/>
              <w:textAlignment w:val="baseline"/>
            </w:pPr>
            <w:r>
              <w:t>Methods to reduce exposure, including engineering controls, protective equipment and work practices.</w:t>
            </w:r>
          </w:p>
          <w:p w:rsidR="005E3398" w:rsidRDefault="005E3398" w:rsidP="005E3398">
            <w:pPr>
              <w:numPr>
                <w:ilvl w:val="0"/>
                <w:numId w:val="2"/>
              </w:numPr>
              <w:overflowPunct w:val="0"/>
              <w:autoSpaceDE w:val="0"/>
              <w:autoSpaceDN w:val="0"/>
              <w:adjustRightInd w:val="0"/>
              <w:spacing w:after="240"/>
              <w:ind w:left="720"/>
              <w:textAlignment w:val="baseline"/>
            </w:pPr>
            <w:r>
              <w:t>Proper use of personal protective equipment, including selection, use, removal, handling, decontamination and disposal.</w:t>
            </w:r>
          </w:p>
          <w:p w:rsidR="005E3398" w:rsidRDefault="005E3398" w:rsidP="005E3398">
            <w:pPr>
              <w:numPr>
                <w:ilvl w:val="0"/>
                <w:numId w:val="2"/>
              </w:numPr>
              <w:overflowPunct w:val="0"/>
              <w:autoSpaceDE w:val="0"/>
              <w:autoSpaceDN w:val="0"/>
              <w:adjustRightInd w:val="0"/>
              <w:spacing w:after="240"/>
              <w:ind w:left="720"/>
              <w:textAlignment w:val="baseline"/>
            </w:pPr>
            <w:r>
              <w:t>Hepatitis B vaccine, its efficacy, safety, benefits, method of administration and the fact that it is free of charge.</w:t>
            </w:r>
          </w:p>
          <w:p w:rsidR="005E3398" w:rsidRDefault="005E3398" w:rsidP="005E3398">
            <w:pPr>
              <w:numPr>
                <w:ilvl w:val="0"/>
                <w:numId w:val="2"/>
              </w:numPr>
              <w:overflowPunct w:val="0"/>
              <w:autoSpaceDE w:val="0"/>
              <w:autoSpaceDN w:val="0"/>
              <w:adjustRightInd w:val="0"/>
              <w:spacing w:after="240"/>
              <w:ind w:left="720"/>
              <w:textAlignment w:val="baseline"/>
            </w:pPr>
            <w:r>
              <w:t>Methods of dealing with emergencies involving blood or other infectious materials.</w:t>
            </w:r>
          </w:p>
          <w:p w:rsidR="005E3398" w:rsidRDefault="005E3398" w:rsidP="005E3398">
            <w:pPr>
              <w:numPr>
                <w:ilvl w:val="0"/>
                <w:numId w:val="2"/>
              </w:numPr>
              <w:overflowPunct w:val="0"/>
              <w:autoSpaceDE w:val="0"/>
              <w:autoSpaceDN w:val="0"/>
              <w:adjustRightInd w:val="0"/>
              <w:spacing w:after="240"/>
              <w:ind w:left="720"/>
              <w:textAlignment w:val="baseline"/>
            </w:pPr>
            <w:r>
              <w:t>Procedures following an exposure incident.</w:t>
            </w:r>
          </w:p>
          <w:p w:rsidR="005E3398" w:rsidRDefault="005E3398" w:rsidP="005E3398">
            <w:pPr>
              <w:numPr>
                <w:ilvl w:val="0"/>
                <w:numId w:val="2"/>
              </w:numPr>
              <w:tabs>
                <w:tab w:val="left" w:pos="720"/>
              </w:tabs>
              <w:overflowPunct w:val="0"/>
              <w:autoSpaceDE w:val="0"/>
              <w:autoSpaceDN w:val="0"/>
              <w:adjustRightInd w:val="0"/>
              <w:spacing w:after="240"/>
              <w:ind w:left="720"/>
              <w:textAlignment w:val="baseline"/>
            </w:pPr>
            <w:r>
              <w:t>An explanation of the labels, signs and color-coding for biohazardous materials.</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5E339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A54AA1" w:rsidRDefault="00A54AA1">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5E3398">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6648"/>
    <w:multiLevelType w:val="multilevel"/>
    <w:tmpl w:val="668447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403973"/>
    <w:rsid w:val="00467733"/>
    <w:rsid w:val="005E3398"/>
    <w:rsid w:val="00870082"/>
    <w:rsid w:val="009160F4"/>
    <w:rsid w:val="00A54AA1"/>
    <w:rsid w:val="00B7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E09067-C754-4423-BDDD-2F874BCD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E3398"/>
    <w:pPr>
      <w:overflowPunct w:val="0"/>
      <w:autoSpaceDE w:val="0"/>
      <w:autoSpaceDN w:val="0"/>
      <w:adjustRightInd w:val="0"/>
      <w:textAlignment w:val="baseline"/>
    </w:pPr>
    <w:rPr>
      <w:szCs w:val="20"/>
    </w:rPr>
  </w:style>
  <w:style w:type="character" w:customStyle="1" w:styleId="BodyTextChar">
    <w:name w:val="Body Text Char"/>
    <w:link w:val="BodyText"/>
    <w:semiHidden/>
    <w:rsid w:val="005E3398"/>
    <w:rPr>
      <w:sz w:val="24"/>
    </w:rPr>
  </w:style>
  <w:style w:type="paragraph" w:styleId="ListParagraph">
    <w:name w:val="List Paragraph"/>
    <w:basedOn w:val="Normal"/>
    <w:uiPriority w:val="34"/>
    <w:qFormat/>
    <w:rsid w:val="004677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2018-09-12T18:34:00Z</dcterms:created>
  <dcterms:modified xsi:type="dcterms:W3CDTF">2018-09-12T18:34:00Z</dcterms:modified>
</cp:coreProperties>
</file>