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3F475C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5C" w:rsidRDefault="003F475C">
            <w:bookmarkStart w:id="0" w:name="_GoBack"/>
            <w:bookmarkEnd w:id="0"/>
          </w:p>
          <w:p w:rsidR="003F475C" w:rsidRDefault="00A746D6" w:rsidP="00A746D6">
            <w:pPr>
              <w:pStyle w:val="ListParagraph"/>
            </w:pPr>
            <w:r>
              <w:t xml:space="preserve"> </w:t>
            </w:r>
            <w:r w:rsidR="003F475C">
              <w:t xml:space="preserve">    </w:t>
            </w:r>
            <w:r w:rsidR="003F475C">
              <w:rPr>
                <w:sz w:val="22"/>
              </w:rPr>
              <w:t xml:space="preserve">MEDICAL RECORDS      </w:t>
            </w:r>
          </w:p>
          <w:p w:rsidR="003F475C" w:rsidRDefault="003F475C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5C" w:rsidRDefault="003F475C"/>
          <w:p w:rsidR="003F475C" w:rsidRDefault="003F475C">
            <w:r>
              <w:t xml:space="preserve">NO.  </w:t>
            </w:r>
            <w:r>
              <w:rPr>
                <w:sz w:val="22"/>
              </w:rPr>
              <w:t xml:space="preserve"> 172A</w:t>
            </w:r>
          </w:p>
        </w:tc>
      </w:tr>
      <w:tr w:rsidR="003F475C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5C" w:rsidRDefault="003F475C"/>
          <w:p w:rsidR="003F475C" w:rsidRDefault="003F475C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3F475C" w:rsidRDefault="00222F2B" w:rsidP="00222F2B">
            <w:pPr>
              <w:numPr>
                <w:ilvl w:val="0"/>
                <w:numId w:val="1"/>
              </w:numPr>
              <w:spacing w:line="240" w:lineRule="atLeast"/>
              <w:ind w:right="612"/>
            </w:pPr>
            <w:r>
              <w:t>The Administrator or their designated representative</w:t>
            </w:r>
            <w:r w:rsidR="003F475C">
              <w:t xml:space="preserve"> is responsible for maintaining records which will include clinical, medical, and psychosocial information.</w:t>
            </w:r>
          </w:p>
          <w:p w:rsidR="003F475C" w:rsidRDefault="003F475C" w:rsidP="00222F2B">
            <w:pPr>
              <w:numPr>
                <w:ilvl w:val="12"/>
                <w:numId w:val="0"/>
              </w:numPr>
              <w:spacing w:line="240" w:lineRule="atLeast"/>
              <w:ind w:right="612"/>
            </w:pPr>
          </w:p>
          <w:p w:rsidR="003F475C" w:rsidRDefault="003F475C" w:rsidP="00222F2B">
            <w:pPr>
              <w:numPr>
                <w:ilvl w:val="0"/>
                <w:numId w:val="1"/>
              </w:numPr>
              <w:spacing w:line="240" w:lineRule="atLeast"/>
              <w:ind w:right="612"/>
            </w:pPr>
            <w:r>
              <w:t>Clinical records will be kept current, complete, dated signed, readily accessible and will contain the following general categories:</w:t>
            </w:r>
          </w:p>
          <w:p w:rsidR="003F475C" w:rsidRDefault="003F475C" w:rsidP="00222F2B">
            <w:pPr>
              <w:numPr>
                <w:ilvl w:val="12"/>
                <w:numId w:val="0"/>
              </w:numPr>
              <w:spacing w:line="240" w:lineRule="atLeast"/>
              <w:ind w:right="612"/>
            </w:pP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Written Assessments of the needs of the patient.</w:t>
            </w: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Written plan of care.</w:t>
            </w: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Authentication of hospital diagnosis (Discharge Summary, Report from Patient's Attending Physician Transfer Form).</w:t>
            </w: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Identification data and consent forms.</w:t>
            </w: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Medical and nursing history of the patient.</w:t>
            </w: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Report of physical examination(s).</w:t>
            </w: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Diagnostic and therapeutic orders.</w:t>
            </w: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Observations and progress notes.</w:t>
            </w: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Reports of treatments and clinical findings.</w:t>
            </w:r>
          </w:p>
          <w:p w:rsidR="003F475C" w:rsidRDefault="003F475C" w:rsidP="00222F2B">
            <w:pPr>
              <w:numPr>
                <w:ilvl w:val="0"/>
                <w:numId w:val="2"/>
              </w:numPr>
              <w:spacing w:line="240" w:lineRule="atLeast"/>
              <w:ind w:right="612"/>
            </w:pPr>
            <w:r>
              <w:t>Discharge summary including final diagnosis and prognosis.</w:t>
            </w:r>
          </w:p>
          <w:p w:rsidR="003F475C" w:rsidRDefault="003F475C" w:rsidP="00222F2B">
            <w:pPr>
              <w:numPr>
                <w:ilvl w:val="12"/>
                <w:numId w:val="0"/>
              </w:numPr>
              <w:spacing w:line="240" w:lineRule="atLeast"/>
              <w:ind w:right="612"/>
            </w:pPr>
          </w:p>
          <w:p w:rsidR="003F475C" w:rsidRDefault="003F475C" w:rsidP="00222F2B">
            <w:pPr>
              <w:numPr>
                <w:ilvl w:val="0"/>
                <w:numId w:val="3"/>
              </w:numPr>
              <w:spacing w:line="240" w:lineRule="atLeast"/>
              <w:ind w:right="612"/>
            </w:pPr>
            <w:r>
              <w:t>Records will b</w:t>
            </w:r>
            <w:r w:rsidR="00222F2B">
              <w:t>e retained until audited and</w:t>
            </w:r>
            <w:r>
              <w:t xml:space="preserve"> audit questions are resolved.  In </w:t>
            </w:r>
            <w:r w:rsidR="00222F2B">
              <w:t>the case of a minor, until they turn</w:t>
            </w:r>
            <w:r>
              <w:t xml:space="preserve"> 23 years, or 5 years after the date the patient is discharged, whichever period is longer.</w:t>
            </w:r>
          </w:p>
          <w:p w:rsidR="003F475C" w:rsidRDefault="003F475C" w:rsidP="00222F2B">
            <w:pPr>
              <w:numPr>
                <w:ilvl w:val="12"/>
                <w:numId w:val="0"/>
              </w:numPr>
              <w:spacing w:line="240" w:lineRule="atLeast"/>
              <w:ind w:right="612"/>
            </w:pPr>
          </w:p>
          <w:p w:rsidR="003F475C" w:rsidRDefault="003F475C" w:rsidP="00222F2B">
            <w:pPr>
              <w:numPr>
                <w:ilvl w:val="0"/>
                <w:numId w:val="3"/>
              </w:numPr>
              <w:spacing w:line="240" w:lineRule="atLeast"/>
              <w:ind w:right="612"/>
            </w:pPr>
            <w:r>
              <w:t>The c</w:t>
            </w:r>
            <w:r w:rsidR="00222F2B">
              <w:t>linical records of the patients become</w:t>
            </w:r>
            <w:r>
              <w:t xml:space="preserve"> the private </w:t>
            </w:r>
            <w:r w:rsidR="00222F2B">
              <w:t>property of the facility.  I</w:t>
            </w:r>
            <w:r>
              <w:t>nformation contained in the clinical records is treated as confidential and copies of the clinic</w:t>
            </w:r>
            <w:r w:rsidR="00222F2B">
              <w:t>al records may be disclosed</w:t>
            </w:r>
            <w:r>
              <w:t xml:space="preserve"> to authorized persons upon written authorization of patient or legal guardian.</w:t>
            </w:r>
          </w:p>
          <w:p w:rsidR="003F475C" w:rsidRDefault="003F475C" w:rsidP="00222F2B">
            <w:pPr>
              <w:numPr>
                <w:ilvl w:val="12"/>
                <w:numId w:val="0"/>
              </w:numPr>
              <w:spacing w:line="240" w:lineRule="atLeast"/>
              <w:ind w:right="612"/>
            </w:pPr>
          </w:p>
          <w:p w:rsidR="003F475C" w:rsidRDefault="00222F2B" w:rsidP="00222F2B">
            <w:pPr>
              <w:numPr>
                <w:ilvl w:val="0"/>
                <w:numId w:val="3"/>
              </w:numPr>
              <w:spacing w:line="240" w:lineRule="atLeast"/>
              <w:ind w:right="612"/>
            </w:pPr>
            <w:r>
              <w:t>The medical record may</w:t>
            </w:r>
            <w:r w:rsidR="003F475C">
              <w:t xml:space="preserve"> be removed by court subpoena.</w:t>
            </w:r>
          </w:p>
          <w:p w:rsidR="003F475C" w:rsidRDefault="003F475C" w:rsidP="00222F2B">
            <w:pPr>
              <w:numPr>
                <w:ilvl w:val="12"/>
                <w:numId w:val="0"/>
              </w:numPr>
              <w:spacing w:line="240" w:lineRule="atLeast"/>
              <w:ind w:right="612"/>
            </w:pPr>
          </w:p>
          <w:p w:rsidR="003F475C" w:rsidRDefault="003F475C" w:rsidP="00222F2B">
            <w:pPr>
              <w:numPr>
                <w:ilvl w:val="0"/>
                <w:numId w:val="3"/>
              </w:numPr>
              <w:spacing w:line="240" w:lineRule="atLeast"/>
              <w:ind w:right="612"/>
            </w:pPr>
            <w:r>
              <w:t xml:space="preserve">In the event of an emergency, the book or Kardex of current computer </w:t>
            </w:r>
            <w:r w:rsidR="00222F2B">
              <w:t>doctors’</w:t>
            </w:r>
            <w:r>
              <w:t xml:space="preserve"> orders will be removed from the facility by the Charge Nurse.  When possible, the master patient card index will be removed by the Medical Records Clerk or responsible person.</w:t>
            </w:r>
          </w:p>
          <w:p w:rsidR="003F475C" w:rsidRDefault="003F475C">
            <w:pPr>
              <w:spacing w:line="240" w:lineRule="atLeast"/>
              <w:ind w:right="612"/>
            </w:pPr>
          </w:p>
          <w:p w:rsidR="003F475C" w:rsidRDefault="003F475C">
            <w:pPr>
              <w:spacing w:line="240" w:lineRule="atLeast"/>
              <w:ind w:left="144" w:right="612"/>
            </w:pPr>
            <w:r>
              <w:t>See Medical Record Instruction Manual.</w:t>
            </w:r>
          </w:p>
          <w:p w:rsidR="003F475C" w:rsidRDefault="003F475C"/>
          <w:p w:rsidR="003F475C" w:rsidRDefault="003F475C"/>
          <w:p w:rsidR="003F475C" w:rsidRDefault="003F475C"/>
          <w:p w:rsidR="003F475C" w:rsidRDefault="003F475C"/>
          <w:p w:rsidR="003F475C" w:rsidRDefault="003F475C"/>
          <w:p w:rsidR="003F475C" w:rsidRDefault="003F475C"/>
        </w:tc>
      </w:tr>
      <w:tr w:rsidR="003F475C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5C" w:rsidRDefault="003F475C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5C" w:rsidRDefault="003F475C">
            <w:r>
              <w:t>Effective</w:t>
            </w:r>
          </w:p>
          <w:p w:rsidR="003F475C" w:rsidRDefault="003F475C">
            <w:r>
              <w:t>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5C" w:rsidRDefault="004E4D1A">
            <w:r>
              <w:t>Revision Date:</w:t>
            </w:r>
          </w:p>
          <w:p w:rsidR="004E4D1A" w:rsidRDefault="004E4D1A">
            <w:r>
              <w:t>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5C" w:rsidRDefault="003F475C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5C" w:rsidRDefault="003F475C">
            <w:r>
              <w:t>Page:</w:t>
            </w:r>
          </w:p>
          <w:p w:rsidR="003F475C" w:rsidRDefault="003F475C"/>
          <w:p w:rsidR="003F475C" w:rsidRDefault="003F475C">
            <w:r>
              <w:t xml:space="preserve">                1 of 1</w:t>
            </w:r>
          </w:p>
          <w:p w:rsidR="003F475C" w:rsidRDefault="003F475C"/>
        </w:tc>
      </w:tr>
    </w:tbl>
    <w:p w:rsidR="003F475C" w:rsidRDefault="003F475C"/>
    <w:sectPr w:rsidR="003F47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6099"/>
    <w:multiLevelType w:val="singleLevel"/>
    <w:tmpl w:val="9AE83C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4627D65"/>
    <w:multiLevelType w:val="singleLevel"/>
    <w:tmpl w:val="9AE83C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490054A4"/>
    <w:multiLevelType w:val="singleLevel"/>
    <w:tmpl w:val="B8F8B72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2B"/>
    <w:rsid w:val="00222F2B"/>
    <w:rsid w:val="003F475C"/>
    <w:rsid w:val="004A32F0"/>
    <w:rsid w:val="004E4D1A"/>
    <w:rsid w:val="00A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5C58F9-C515-4BFC-8490-231BB00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746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