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E5A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rPr>
          <w:sz w:val="22"/>
        </w:rPr>
      </w:pPr>
      <w:bookmarkStart w:id="0" w:name="_GoBack"/>
      <w:bookmarkEnd w:id="0"/>
      <w:r>
        <w:rPr>
          <w:sz w:val="22"/>
        </w:rPr>
        <w:t>GENERIC DRUGS</w:t>
      </w:r>
      <w:r>
        <w:rPr>
          <w:sz w:val="22"/>
        </w:rPr>
        <w:tab/>
      </w:r>
      <w:r>
        <w:rPr>
          <w:sz w:val="22"/>
        </w:rPr>
        <w:tab/>
      </w:r>
      <w:r>
        <w:rPr>
          <w:sz w:val="22"/>
        </w:rPr>
        <w:tab/>
      </w:r>
      <w:r>
        <w:rPr>
          <w:sz w:val="22"/>
        </w:rPr>
        <w:tab/>
      </w:r>
      <w:r>
        <w:rPr>
          <w:sz w:val="22"/>
        </w:rPr>
        <w:tab/>
      </w:r>
      <w:r>
        <w:rPr>
          <w:sz w:val="22"/>
        </w:rPr>
        <w:tab/>
      </w:r>
      <w:r>
        <w:rPr>
          <w:sz w:val="22"/>
        </w:rPr>
        <w:tab/>
      </w:r>
      <w:r>
        <w:rPr>
          <w:sz w:val="22"/>
        </w:rPr>
        <w:tab/>
        <w:t>154</w:t>
      </w:r>
    </w:p>
    <w:p w:rsidR="00000000" w:rsidRDefault="000E5A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p>
    <w:p w:rsidR="00000000" w:rsidRDefault="000E5A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Pharmacy Services Committee has adopted a facility policy that extends the concept of brand name replacement to cover private patients in the facility.  The purpose is to lower the cost of medications to the patient without s</w:t>
      </w:r>
      <w:r>
        <w:rPr>
          <w:sz w:val="22"/>
        </w:rPr>
        <w:t>acrificing quality or therapeutic reliability.</w:t>
      </w: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Generic drug substitutes (brand name replacements) may be dispensed by the pharmacist unless the physician specifically states otherwise, as long as it is part of the Illinois Substitution Formulary.  Generic drug type means the chemical or generic name, as determined by the United States Adopted Names Council (USAN) and accepted by the Federal Food and Drug Administration (FDA), of drug product having the same active ingredients.</w:t>
      </w: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It is understood that the ph</w:t>
      </w:r>
      <w:r>
        <w:rPr>
          <w:sz w:val="22"/>
        </w:rPr>
        <w:t>armacist will at all times apply professional judgement in selecting drug products and employ prudent buying concepts as outlined by Medicare to insure that the patient is not penalized by excessive price differences.</w:t>
      </w: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0E5A4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sz w:val="22"/>
        </w:rPr>
        <w:tab/>
      </w:r>
      <w:r>
        <w:rPr>
          <w:sz w:val="22"/>
        </w:rPr>
        <w:tab/>
      </w:r>
      <w:r>
        <w:rPr>
          <w:sz w:val="22"/>
        </w:rPr>
        <w:tab/>
      </w:r>
      <w:r>
        <w:rPr>
          <w:sz w:val="22"/>
        </w:rPr>
        <w:tab/>
      </w:r>
      <w:r>
        <w:rPr>
          <w:sz w:val="22"/>
        </w:rPr>
        <w:tab/>
        <w:t>11/15/88</w:t>
      </w:r>
    </w:p>
    <w:sectPr w:rsidR="00000000">
      <w:pgSz w:w="12240" w:h="15840"/>
      <w:pgMar w:top="1584"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A41"/>
    <w:rsid w:val="000E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9841B9-AC7E-438E-A510-9F26078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noProof w:val="0"/>
      <w:sz w:val="22"/>
    </w:rPr>
  </w:style>
  <w:style w:type="paragraph" w:styleId="BodyText2">
    <w:name w:val="Body Text 2"/>
    <w:basedOn w:val="Normal"/>
    <w:pPr>
      <w:ind w:firstLine="576"/>
    </w:pPr>
    <w:rPr>
      <w:noProof w:val="0"/>
      <w:sz w:val="22"/>
    </w:rPr>
  </w:style>
  <w:style w:type="paragraph" w:styleId="BodyText20">
    <w:name w:val="Body Text 2"/>
    <w:basedOn w:val="Normal"/>
    <w:pPr>
      <w:jc w:val="both"/>
    </w:pPr>
    <w:rPr>
      <w:noProof w:val="0"/>
      <w:sz w:val="22"/>
    </w:rPr>
  </w:style>
  <w:style w:type="paragraph" w:styleId="ListParagraph">
    <w:name w:val="List Paragraph"/>
    <w:basedOn w:val="Normal"/>
    <w:uiPriority w:val="34"/>
    <w:qFormat/>
    <w:rsid w:val="000E5A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Company>Dell Computer Corporation</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AGAINST MEDICAL- ADVICE (A</dc:title>
  <dc:subject/>
  <dc:creator>Unknown</dc:creator>
  <cp:keywords/>
  <dc:description/>
  <cp:lastModifiedBy>Administrator</cp:lastModifiedBy>
  <cp:revision>2</cp:revision>
  <cp:lastPrinted>2000-04-24T21:43:00Z</cp:lastPrinted>
  <dcterms:created xsi:type="dcterms:W3CDTF">2018-09-12T18:30:00Z</dcterms:created>
  <dcterms:modified xsi:type="dcterms:W3CDTF">2018-09-12T18:30:00Z</dcterms:modified>
</cp:coreProperties>
</file>