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5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DRUG STORAGE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156</w:t>
      </w:r>
    </w:p>
    <w:p w:rsidR="00000000" w:rsidRDefault="00BD5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All medications are properly labeled by a Pharmacist and stored in the locked medication room, or medication cart.  The medication cart is stored in the locked medication room if not in use. only au</w:t>
      </w:r>
      <w:r>
        <w:rPr>
          <w:sz w:val="22"/>
        </w:rPr>
        <w:t>thorized personnel have access to the keys.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CSA drugs in schedule II, III, IV, and V must bear the federally required "CAUTION" label.  The issuing pharmacist will be responsible for this policy.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External medications must be stored separately from oral medications.  External medications are those which would cause harm or death if taken by mouth or injected, and are kept in a locked treatment cart.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 xml:space="preserve">Those medications requiring refrigeration are stored in the refrigerator in the locked medication room, or </w:t>
      </w:r>
      <w:r>
        <w:rPr>
          <w:sz w:val="22"/>
        </w:rPr>
        <w:t>in a separate permanently affixed,locked medication storage compartment in a refrigerator at or near the nursing station.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Drugs listed under the Controlled Substances Act shall be recorded on Individual Control Drug Records or the pharmacy's designated form and are stored in separately locked, permanently affixed compartment.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All CSA drugs in schedule II, III, and IV will be counted by the two charge nurses at each change of shift, with each signing the audit paper.</w:t>
      </w:r>
    </w:p>
    <w:p w:rsidR="00000000" w:rsidRDefault="00BD54B7">
      <w:pPr>
        <w:rPr>
          <w:sz w:val="22"/>
        </w:rPr>
      </w:pPr>
    </w:p>
    <w:p w:rsidR="00000000" w:rsidRDefault="00BD54B7">
      <w:pPr>
        <w:rPr>
          <w:sz w:val="22"/>
        </w:rPr>
      </w:pPr>
      <w:r>
        <w:rPr>
          <w:sz w:val="22"/>
        </w:rPr>
        <w:t>All CSA drugs in schedule II must be s</w:t>
      </w:r>
      <w:r>
        <w:rPr>
          <w:sz w:val="22"/>
        </w:rPr>
        <w:t>tored behind double locks.</w:t>
      </w: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BD54B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3/86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12/94</w:t>
      </w: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B7"/>
    <w:rsid w:val="00B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0D2E-38EB-4A26-86D7-F7392AD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noProof w:val="0"/>
      <w:sz w:val="22"/>
    </w:rPr>
  </w:style>
  <w:style w:type="paragraph" w:styleId="BodyText2">
    <w:name w:val="Body Text 2"/>
    <w:basedOn w:val="Normal"/>
    <w:pPr>
      <w:ind w:firstLine="576"/>
    </w:pPr>
    <w:rPr>
      <w:noProof w:val="0"/>
      <w:sz w:val="22"/>
    </w:rPr>
  </w:style>
  <w:style w:type="paragraph" w:styleId="BodyText20">
    <w:name w:val="Body Text 2"/>
    <w:basedOn w:val="Normal"/>
    <w:pPr>
      <w:jc w:val="both"/>
    </w:pPr>
    <w:rPr>
      <w:noProof w:val="0"/>
      <w:sz w:val="22"/>
    </w:rPr>
  </w:style>
  <w:style w:type="paragraph" w:styleId="ListParagraph">
    <w:name w:val="List Paragraph"/>
    <w:basedOn w:val="Normal"/>
    <w:uiPriority w:val="34"/>
    <w:qFormat/>
    <w:rsid w:val="00BD54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Dell Computer Corporation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AGAINST MEDICAL- ADVICE (A</dc:title>
  <dc:subject/>
  <dc:creator>Unknown</dc:creator>
  <cp:keywords/>
  <dc:description/>
  <cp:lastModifiedBy>Administrator</cp:lastModifiedBy>
  <cp:revision>2</cp:revision>
  <cp:lastPrinted>2000-04-24T21:43:00Z</cp:lastPrinted>
  <dcterms:created xsi:type="dcterms:W3CDTF">2018-09-12T18:30:00Z</dcterms:created>
  <dcterms:modified xsi:type="dcterms:W3CDTF">2018-09-12T18:30:00Z</dcterms:modified>
</cp:coreProperties>
</file>