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77716E" w:rsidP="0077716E">
            <w:pPr>
              <w:pStyle w:val="ListParagraph"/>
            </w:pPr>
            <w:r>
              <w:t xml:space="preserve"> </w:t>
            </w:r>
            <w:r w:rsidR="00FC6D52">
              <w:t xml:space="preserve"> </w:t>
            </w:r>
            <w:r w:rsidR="00BC5BF6">
              <w:t xml:space="preserve"> </w:t>
            </w:r>
            <w:r w:rsidR="001F4527">
              <w:t xml:space="preserve">     </w:t>
            </w:r>
            <w:r w:rsidR="00B607F3">
              <w:t>DRESS CODE</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r w:rsidR="00EC658E">
              <w:rPr>
                <w:sz w:val="22"/>
              </w:rPr>
              <w:t>425</w:t>
            </w:r>
          </w:p>
          <w:p w:rsidR="00FC6D52" w:rsidRDefault="00FC6D52" w:rsidP="00FC6D52"/>
        </w:tc>
      </w:tr>
      <w:tr w:rsidR="00FC6D52" w:rsidTr="00C826D3">
        <w:tc>
          <w:tcPr>
            <w:tcW w:w="11088" w:type="dxa"/>
            <w:gridSpan w:val="6"/>
          </w:tcPr>
          <w:p w:rsidR="00BC3FB3" w:rsidRDefault="00BC3FB3" w:rsidP="00FC6D52">
            <w:r>
              <w:t xml:space="preserve">     </w:t>
            </w:r>
          </w:p>
          <w:p w:rsidR="00231CDA" w:rsidRDefault="00BC3FB3" w:rsidP="00FC6D52">
            <w:pPr>
              <w:rPr>
                <w:sz w:val="22"/>
              </w:rPr>
            </w:pPr>
            <w:r>
              <w:t xml:space="preserve">     </w:t>
            </w:r>
            <w:r w:rsidRPr="00BC3FB3">
              <w:rPr>
                <w:sz w:val="22"/>
              </w:rPr>
              <w:t xml:space="preserve"> </w:t>
            </w:r>
            <w:r w:rsidR="008848AE" w:rsidRPr="00BC3FB3">
              <w:rPr>
                <w:sz w:val="22"/>
              </w:rPr>
              <w:t>POLICY:</w:t>
            </w:r>
          </w:p>
          <w:p w:rsidR="00BC3FB3" w:rsidRPr="00BC3FB3" w:rsidRDefault="00BC3FB3" w:rsidP="00FC6D52">
            <w:pPr>
              <w:rPr>
                <w:sz w:val="22"/>
              </w:rPr>
            </w:pPr>
          </w:p>
          <w:p w:rsidR="00EC658E" w:rsidRDefault="00EC658E" w:rsidP="00EC658E">
            <w:pPr>
              <w:spacing w:line="276" w:lineRule="auto"/>
              <w:ind w:left="360" w:right="252"/>
              <w:rPr>
                <w:sz w:val="22"/>
              </w:rPr>
            </w:pPr>
            <w:r w:rsidRPr="00BC3FB3">
              <w:rPr>
                <w:sz w:val="22"/>
              </w:rPr>
              <w:t>Winning Wheels strives to project a professional image to residents and visito</w:t>
            </w:r>
            <w:r w:rsidR="00C50160" w:rsidRPr="00BC3FB3">
              <w:rPr>
                <w:sz w:val="22"/>
              </w:rPr>
              <w:t>rs.  It is essential that you are</w:t>
            </w:r>
            <w:r w:rsidRPr="00BC3FB3">
              <w:rPr>
                <w:sz w:val="22"/>
              </w:rPr>
              <w:t xml:space="preserve"> well groomed and appropriately dressed as you are representing Winning Wheels.  </w:t>
            </w:r>
          </w:p>
          <w:p w:rsidR="00BC3FB3" w:rsidRPr="00BC3FB3" w:rsidRDefault="00BC3FB3" w:rsidP="00EC658E">
            <w:pPr>
              <w:spacing w:line="276" w:lineRule="auto"/>
              <w:ind w:left="360" w:right="252"/>
              <w:rPr>
                <w:sz w:val="22"/>
              </w:rPr>
            </w:pPr>
          </w:p>
          <w:p w:rsidR="008848AE" w:rsidRDefault="008848AE" w:rsidP="00C50160">
            <w:pPr>
              <w:spacing w:line="276" w:lineRule="auto"/>
              <w:ind w:left="360" w:right="252"/>
              <w:rPr>
                <w:sz w:val="22"/>
              </w:rPr>
            </w:pPr>
            <w:r w:rsidRPr="00BC3FB3">
              <w:rPr>
                <w:sz w:val="22"/>
              </w:rPr>
              <w:t>PROCEDURES:</w:t>
            </w:r>
          </w:p>
          <w:p w:rsidR="00BC3FB3" w:rsidRPr="00BC3FB3" w:rsidRDefault="00BC3FB3" w:rsidP="00C50160">
            <w:pPr>
              <w:spacing w:line="276" w:lineRule="auto"/>
              <w:ind w:left="360" w:right="252"/>
              <w:rPr>
                <w:sz w:val="22"/>
              </w:rPr>
            </w:pPr>
          </w:p>
          <w:p w:rsidR="00EC658E" w:rsidRPr="00BC3FB3" w:rsidRDefault="00EC658E" w:rsidP="00EC658E">
            <w:pPr>
              <w:spacing w:line="276" w:lineRule="auto"/>
              <w:ind w:left="360" w:right="252"/>
              <w:rPr>
                <w:sz w:val="22"/>
              </w:rPr>
            </w:pPr>
            <w:r w:rsidRPr="0068775F">
              <w:rPr>
                <w:sz w:val="22"/>
              </w:rPr>
              <w:t>Upon hir</w:t>
            </w:r>
            <w:r w:rsidR="00C50160" w:rsidRPr="0068775F">
              <w:rPr>
                <w:sz w:val="22"/>
              </w:rPr>
              <w:t>e,</w:t>
            </w:r>
            <w:r w:rsidRPr="0068775F">
              <w:rPr>
                <w:sz w:val="22"/>
              </w:rPr>
              <w:t xml:space="preserve"> staff will receive a name badge.  The name badge is part of the uniform and must be worn.  Offensive tattoos</w:t>
            </w:r>
            <w:r w:rsidR="00041F2D" w:rsidRPr="0068775F">
              <w:rPr>
                <w:sz w:val="22"/>
              </w:rPr>
              <w:t xml:space="preserve"> </w:t>
            </w:r>
            <w:r w:rsidR="008848AE" w:rsidRPr="0068775F">
              <w:rPr>
                <w:sz w:val="22"/>
              </w:rPr>
              <w:t>including, but not limited to, coarse language, racial slurs,</w:t>
            </w:r>
            <w:r w:rsidR="00041F2D" w:rsidRPr="0068775F">
              <w:rPr>
                <w:sz w:val="22"/>
              </w:rPr>
              <w:t xml:space="preserve"> nudity, and hate group symbols,</w:t>
            </w:r>
            <w:r w:rsidRPr="0068775F">
              <w:rPr>
                <w:sz w:val="22"/>
              </w:rPr>
              <w:t xml:space="preserve"> must be covered</w:t>
            </w:r>
            <w:r w:rsidR="008848AE" w:rsidRPr="0068775F">
              <w:rPr>
                <w:sz w:val="22"/>
              </w:rPr>
              <w:t>.  If you have questions about your tattoo(s) or wish to discuss a fu</w:t>
            </w:r>
            <w:r w:rsidR="009600BA" w:rsidRPr="0068775F">
              <w:rPr>
                <w:sz w:val="22"/>
              </w:rPr>
              <w:t>ture tattoo, talk to your</w:t>
            </w:r>
            <w:r w:rsidR="00162F3A" w:rsidRPr="0068775F">
              <w:rPr>
                <w:sz w:val="22"/>
              </w:rPr>
              <w:t>/a</w:t>
            </w:r>
            <w:r w:rsidR="009600BA" w:rsidRPr="0068775F">
              <w:rPr>
                <w:sz w:val="22"/>
              </w:rPr>
              <w:t xml:space="preserve"> supervisor or</w:t>
            </w:r>
            <w:r w:rsidR="008848AE" w:rsidRPr="0068775F">
              <w:rPr>
                <w:sz w:val="22"/>
              </w:rPr>
              <w:t xml:space="preserve"> the Human Resources Director</w:t>
            </w:r>
            <w:r w:rsidRPr="0068775F">
              <w:rPr>
                <w:sz w:val="22"/>
              </w:rPr>
              <w:t>.  Body piercings (eyebrows, lips, nose, etc.) are not allowed and must be removed or c</w:t>
            </w:r>
            <w:r w:rsidR="00314A90" w:rsidRPr="0068775F">
              <w:rPr>
                <w:sz w:val="22"/>
              </w:rPr>
              <w:t>overed while on duty. A</w:t>
            </w:r>
            <w:r w:rsidRPr="0068775F">
              <w:rPr>
                <w:sz w:val="22"/>
              </w:rPr>
              <w:t>bnormal bruising of the skin (</w:t>
            </w:r>
            <w:r w:rsidR="00314A90" w:rsidRPr="0068775F">
              <w:rPr>
                <w:sz w:val="22"/>
              </w:rPr>
              <w:t xml:space="preserve">e.g., </w:t>
            </w:r>
            <w:r w:rsidRPr="0068775F">
              <w:rPr>
                <w:sz w:val="22"/>
              </w:rPr>
              <w:t xml:space="preserve">hickeys) will not be tolerated.  Such areas must be covered with a bandage or additional clothing.  Hair </w:t>
            </w:r>
            <w:r w:rsidR="00314A90" w:rsidRPr="0068775F">
              <w:rPr>
                <w:sz w:val="22"/>
              </w:rPr>
              <w:t xml:space="preserve">must be stylized or worn as to not cause health </w:t>
            </w:r>
            <w:r w:rsidR="00140886">
              <w:rPr>
                <w:sz w:val="22"/>
              </w:rPr>
              <w:t>and/</w:t>
            </w:r>
            <w:r w:rsidR="00314A90" w:rsidRPr="0068775F">
              <w:rPr>
                <w:sz w:val="22"/>
              </w:rPr>
              <w:t>or safety concerns for residents</w:t>
            </w:r>
            <w:r w:rsidRPr="0068775F">
              <w:rPr>
                <w:sz w:val="22"/>
              </w:rPr>
              <w:t>.</w:t>
            </w:r>
            <w:r w:rsidRPr="00BC3FB3">
              <w:rPr>
                <w:sz w:val="22"/>
              </w:rPr>
              <w:t xml:space="preserve">  </w:t>
            </w:r>
          </w:p>
          <w:p w:rsidR="00EC658E" w:rsidRPr="00BC3FB3" w:rsidRDefault="00EC658E" w:rsidP="00EC658E">
            <w:pPr>
              <w:spacing w:line="276" w:lineRule="auto"/>
              <w:ind w:left="360" w:right="252"/>
              <w:rPr>
                <w:sz w:val="22"/>
              </w:rPr>
            </w:pPr>
          </w:p>
          <w:p w:rsidR="00EC658E" w:rsidRPr="00BC3FB3" w:rsidRDefault="00EC658E" w:rsidP="00EC658E">
            <w:pPr>
              <w:spacing w:line="276" w:lineRule="auto"/>
              <w:ind w:left="360" w:right="252"/>
              <w:rPr>
                <w:sz w:val="22"/>
              </w:rPr>
            </w:pPr>
            <w:r w:rsidRPr="00BC3FB3">
              <w:rPr>
                <w:sz w:val="22"/>
              </w:rPr>
              <w:t>Direct care staff is prohibited from wearing jewelry that could interfere with resident’s care.  Large or dangling earrings have the possibility of being pulled out.  Loose fitting necklaces can be pulled and broken.</w:t>
            </w:r>
          </w:p>
          <w:p w:rsidR="00EC658E" w:rsidRPr="00BC3FB3" w:rsidRDefault="00EC658E" w:rsidP="00EC658E">
            <w:pPr>
              <w:spacing w:line="276" w:lineRule="auto"/>
              <w:ind w:left="360" w:right="252"/>
              <w:rPr>
                <w:sz w:val="22"/>
              </w:rPr>
            </w:pPr>
          </w:p>
          <w:p w:rsidR="00EC658E" w:rsidRPr="00BC3FB3" w:rsidRDefault="00EC658E" w:rsidP="00EC658E">
            <w:pPr>
              <w:spacing w:line="276" w:lineRule="auto"/>
              <w:ind w:left="360" w:right="252"/>
              <w:rPr>
                <w:sz w:val="22"/>
              </w:rPr>
            </w:pPr>
            <w:r w:rsidRPr="00BC3FB3">
              <w:rPr>
                <w:sz w:val="22"/>
              </w:rPr>
              <w:t xml:space="preserve">Direct care staff is prohibited from wearing acrylic or false nails, or natural nails longer than ¼ inch in length.  They are a potential source of cross contamination and possible injury to the residents.  </w:t>
            </w:r>
          </w:p>
          <w:p w:rsidR="00EC658E" w:rsidRPr="00BC3FB3" w:rsidRDefault="00EC658E" w:rsidP="00EC658E">
            <w:pPr>
              <w:spacing w:line="276" w:lineRule="auto"/>
              <w:ind w:left="360" w:right="252"/>
              <w:rPr>
                <w:sz w:val="22"/>
              </w:rPr>
            </w:pPr>
          </w:p>
          <w:p w:rsidR="00EC658E" w:rsidRPr="00BC3FB3" w:rsidRDefault="00C50160" w:rsidP="00EC658E">
            <w:pPr>
              <w:spacing w:line="276" w:lineRule="auto"/>
              <w:ind w:left="360" w:right="252"/>
              <w:rPr>
                <w:sz w:val="22"/>
              </w:rPr>
            </w:pPr>
            <w:r w:rsidRPr="00BC3FB3">
              <w:rPr>
                <w:sz w:val="22"/>
              </w:rPr>
              <w:t>Ninety days after hire,</w:t>
            </w:r>
            <w:r w:rsidR="00EC658E" w:rsidRPr="00BC3FB3">
              <w:rPr>
                <w:sz w:val="22"/>
              </w:rPr>
              <w:t xml:space="preserve"> staff will receive a pair of shoes from Shoes for Crews.  Shoes must be of neutral color, slip resistant, and in good repair.  “Croc” style shoes are prohibited.  </w:t>
            </w:r>
          </w:p>
          <w:p w:rsidR="00EC658E" w:rsidRPr="00BC3FB3" w:rsidRDefault="00EC658E" w:rsidP="00EC658E">
            <w:pPr>
              <w:spacing w:line="276" w:lineRule="auto"/>
              <w:ind w:left="360" w:right="252"/>
              <w:rPr>
                <w:sz w:val="22"/>
              </w:rPr>
            </w:pPr>
          </w:p>
          <w:p w:rsidR="00EC658E" w:rsidRPr="00BC3FB3" w:rsidRDefault="00EC658E" w:rsidP="00EC658E">
            <w:pPr>
              <w:spacing w:line="276" w:lineRule="auto"/>
              <w:ind w:left="360" w:right="252"/>
              <w:rPr>
                <w:sz w:val="22"/>
              </w:rPr>
            </w:pPr>
            <w:r w:rsidRPr="00BC3FB3">
              <w:rPr>
                <w:sz w:val="22"/>
              </w:rPr>
              <w:t>Below are department specific dress requirements:</w:t>
            </w:r>
          </w:p>
          <w:p w:rsidR="00EC658E" w:rsidRPr="00BC3FB3" w:rsidRDefault="00EC658E" w:rsidP="00EC658E">
            <w:pPr>
              <w:spacing w:line="276" w:lineRule="auto"/>
              <w:ind w:left="360" w:right="252"/>
              <w:rPr>
                <w:sz w:val="22"/>
              </w:rPr>
            </w:pPr>
          </w:p>
          <w:p w:rsidR="00EC658E" w:rsidRPr="00BC3FB3" w:rsidRDefault="00EC658E" w:rsidP="00EC658E">
            <w:pPr>
              <w:spacing w:line="276" w:lineRule="auto"/>
              <w:ind w:left="360" w:right="252"/>
              <w:rPr>
                <w:sz w:val="22"/>
              </w:rPr>
            </w:pPr>
            <w:r w:rsidRPr="00BC3FB3">
              <w:rPr>
                <w:b/>
                <w:sz w:val="22"/>
              </w:rPr>
              <w:t>Housekeeping and Laundry</w:t>
            </w:r>
            <w:r w:rsidRPr="00BC3FB3">
              <w:rPr>
                <w:sz w:val="22"/>
              </w:rPr>
              <w:t>: Navy blue scrub top and pants</w:t>
            </w:r>
          </w:p>
          <w:p w:rsidR="00EC658E" w:rsidRPr="00BC3FB3" w:rsidRDefault="00EC658E" w:rsidP="00EC658E">
            <w:pPr>
              <w:spacing w:line="276" w:lineRule="auto"/>
              <w:ind w:left="360" w:right="252"/>
              <w:rPr>
                <w:sz w:val="22"/>
              </w:rPr>
            </w:pPr>
            <w:r w:rsidRPr="00BC3FB3">
              <w:rPr>
                <w:b/>
                <w:sz w:val="22"/>
              </w:rPr>
              <w:t>Dietary</w:t>
            </w:r>
            <w:r w:rsidRPr="00BC3FB3">
              <w:rPr>
                <w:sz w:val="22"/>
              </w:rPr>
              <w:t>: Green scrub top and pants</w:t>
            </w:r>
          </w:p>
          <w:p w:rsidR="00EC658E" w:rsidRPr="00BC3FB3" w:rsidRDefault="00EC658E" w:rsidP="00EC658E">
            <w:pPr>
              <w:spacing w:line="276" w:lineRule="auto"/>
              <w:ind w:left="360" w:right="252"/>
              <w:rPr>
                <w:sz w:val="22"/>
              </w:rPr>
            </w:pPr>
            <w:r w:rsidRPr="00BC3FB3">
              <w:rPr>
                <w:b/>
                <w:sz w:val="22"/>
              </w:rPr>
              <w:t>Nurses, Nurse Aides, and Restorative Aides</w:t>
            </w:r>
            <w:r w:rsidRPr="00BC3FB3">
              <w:rPr>
                <w:sz w:val="22"/>
              </w:rPr>
              <w:t xml:space="preserve">:  Any color scrub top or bottoms, or Winning Wheels apparel.  </w:t>
            </w:r>
          </w:p>
          <w:p w:rsidR="00EC658E" w:rsidRPr="00BC3FB3" w:rsidRDefault="00EC658E" w:rsidP="00EC658E">
            <w:pPr>
              <w:spacing w:line="276" w:lineRule="auto"/>
              <w:ind w:left="360" w:right="252"/>
              <w:rPr>
                <w:sz w:val="22"/>
              </w:rPr>
            </w:pPr>
            <w:r w:rsidRPr="00BC3FB3">
              <w:rPr>
                <w:b/>
                <w:sz w:val="22"/>
              </w:rPr>
              <w:t>Administration, Department Heads, Social Services, and Activities</w:t>
            </w:r>
            <w:r w:rsidRPr="00BC3FB3">
              <w:rPr>
                <w:sz w:val="22"/>
              </w:rPr>
              <w:t>: Business casual</w:t>
            </w:r>
          </w:p>
          <w:p w:rsidR="00EC658E" w:rsidRPr="00BC3FB3" w:rsidRDefault="00EC658E" w:rsidP="00EC658E">
            <w:pPr>
              <w:spacing w:line="276" w:lineRule="auto"/>
              <w:ind w:left="360" w:right="252"/>
              <w:rPr>
                <w:sz w:val="22"/>
              </w:rPr>
            </w:pPr>
            <w:r w:rsidRPr="00BC3FB3">
              <w:rPr>
                <w:b/>
                <w:sz w:val="22"/>
              </w:rPr>
              <w:t>Maintenance</w:t>
            </w:r>
            <w:r w:rsidRPr="00BC3FB3">
              <w:rPr>
                <w:sz w:val="22"/>
              </w:rPr>
              <w:t xml:space="preserve">: Jeans and tee shirt or sweatshirt (at supervisor’s discretion).  </w:t>
            </w:r>
          </w:p>
          <w:p w:rsidR="00EC658E" w:rsidRPr="00BC3FB3" w:rsidRDefault="00EC658E" w:rsidP="00EC658E">
            <w:pPr>
              <w:spacing w:line="276" w:lineRule="auto"/>
              <w:ind w:left="360" w:right="252"/>
              <w:rPr>
                <w:sz w:val="22"/>
              </w:rPr>
            </w:pPr>
          </w:p>
          <w:p w:rsidR="00EC658E" w:rsidRPr="00BC3FB3" w:rsidRDefault="00EC658E" w:rsidP="00EC658E">
            <w:pPr>
              <w:spacing w:line="276" w:lineRule="auto"/>
              <w:ind w:left="360" w:right="252"/>
              <w:rPr>
                <w:sz w:val="22"/>
              </w:rPr>
            </w:pPr>
            <w:r w:rsidRPr="00BC3FB3">
              <w:rPr>
                <w:sz w:val="22"/>
              </w:rPr>
              <w:t>During warm</w:t>
            </w:r>
            <w:r w:rsidR="00547E8C">
              <w:rPr>
                <w:sz w:val="22"/>
              </w:rPr>
              <w:t>/hot</w:t>
            </w:r>
            <w:r w:rsidRPr="00BC3FB3">
              <w:rPr>
                <w:sz w:val="22"/>
              </w:rPr>
              <w:t xml:space="preserve"> temperatures, Capri or crop length dress pants or scrub pants are permitted.  In colder months, lab jackets or fleece jackets of neutral color (black, white, grey, beige, etc.) may be worn over uniforms.  Long sleeve shirts of neutral color with no print may be worn under uniform tops.  </w:t>
            </w:r>
          </w:p>
          <w:p w:rsidR="00EC658E" w:rsidRPr="00BC3FB3" w:rsidRDefault="00EC658E" w:rsidP="00EC658E">
            <w:pPr>
              <w:spacing w:line="276" w:lineRule="auto"/>
              <w:ind w:left="360" w:right="252"/>
              <w:rPr>
                <w:sz w:val="22"/>
              </w:rPr>
            </w:pPr>
          </w:p>
          <w:p w:rsidR="00617068" w:rsidRPr="00BC3FB3" w:rsidRDefault="00EC658E" w:rsidP="008848AE">
            <w:pPr>
              <w:spacing w:line="276" w:lineRule="auto"/>
              <w:ind w:left="360" w:right="252"/>
              <w:rPr>
                <w:sz w:val="22"/>
              </w:rPr>
            </w:pPr>
            <w:r w:rsidRPr="00BC3FB3">
              <w:rPr>
                <w:sz w:val="22"/>
              </w:rPr>
              <w:t>Fridays are designated as c</w:t>
            </w:r>
            <w:r w:rsidR="00314A90" w:rsidRPr="00BC3FB3">
              <w:rPr>
                <w:sz w:val="22"/>
              </w:rPr>
              <w:t xml:space="preserve">asual days.  On casual days </w:t>
            </w:r>
            <w:r w:rsidRPr="00BC3FB3">
              <w:rPr>
                <w:sz w:val="22"/>
              </w:rPr>
              <w:t xml:space="preserve">staff may wear jeans.  Administration, Department Heads, Social Services, and Activities may wear Winning Wheels tee shirts or sweat shirts.  </w:t>
            </w:r>
          </w:p>
          <w:p w:rsidR="00C50160" w:rsidRDefault="00C50160" w:rsidP="008848AE">
            <w:pPr>
              <w:spacing w:line="276" w:lineRule="auto"/>
              <w:ind w:left="360" w:right="252"/>
            </w:pPr>
          </w:p>
          <w:p w:rsidR="00BC3FB3" w:rsidRDefault="00BC3FB3" w:rsidP="008848AE">
            <w:pPr>
              <w:spacing w:line="276" w:lineRule="auto"/>
              <w:ind w:left="360" w:right="252"/>
            </w:pPr>
          </w:p>
          <w:p w:rsidR="00BC3FB3" w:rsidRDefault="00BC3FB3" w:rsidP="00BC3FB3">
            <w:pPr>
              <w:spacing w:line="276" w:lineRule="auto"/>
              <w:ind w:right="252"/>
            </w:pPr>
          </w:p>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EC658E" w:rsidRDefault="00EC658E" w:rsidP="00FC6D52">
            <w:r>
              <w:t>2/12; 1/14; 7/14;</w:t>
            </w:r>
          </w:p>
          <w:p w:rsidR="009E67CD" w:rsidRDefault="00EC658E" w:rsidP="00FC6D52">
            <w:r>
              <w:t>2/15; 6/16</w:t>
            </w:r>
            <w:r w:rsidR="00B607F3">
              <w:t>; 3/17</w:t>
            </w:r>
          </w:p>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EC658E">
              <w:t>1 of 2</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77716E" w:rsidP="0077716E">
            <w:pPr>
              <w:pStyle w:val="ListParagraph"/>
            </w:pPr>
            <w:r>
              <w:t xml:space="preserve"> </w:t>
            </w:r>
            <w:r w:rsidR="00EB7F69">
              <w:t xml:space="preserve">       </w:t>
            </w:r>
            <w:r w:rsidR="00B607F3">
              <w:t>DRESS CODE</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r w:rsidR="00EC658E">
              <w:rPr>
                <w:sz w:val="22"/>
              </w:rPr>
              <w:t>425</w:t>
            </w:r>
          </w:p>
          <w:p w:rsidR="00EB7F69" w:rsidRDefault="00EB7F69" w:rsidP="002A730C"/>
        </w:tc>
      </w:tr>
      <w:tr w:rsidR="00EB7F69" w:rsidTr="002A730C">
        <w:tc>
          <w:tcPr>
            <w:tcW w:w="11088" w:type="dxa"/>
            <w:gridSpan w:val="6"/>
          </w:tcPr>
          <w:p w:rsidR="00EB7F69" w:rsidRDefault="00EB7F69" w:rsidP="002A730C"/>
          <w:p w:rsidR="00EC658E" w:rsidRDefault="00EC658E" w:rsidP="00EC658E">
            <w:pPr>
              <w:spacing w:line="276" w:lineRule="auto"/>
              <w:ind w:left="360" w:right="432"/>
            </w:pPr>
            <w:r>
              <w:t>I have read the Winning Wheels Dress Code and understand that compliance is required for continued employment.  If an employee arrives to work without the proper uniform attire they will be asked to change or be sent home.  I also understand that upon termination I will be required to return the company provided uniforms in good repair.  If I cannot, the cost of the uniforms will be deducted from my final paycheck.  You will be charged for replacement name badges and gait belts.</w:t>
            </w:r>
          </w:p>
          <w:p w:rsidR="00EC658E" w:rsidRDefault="00EC658E" w:rsidP="00EC658E">
            <w:pPr>
              <w:spacing w:line="360" w:lineRule="auto"/>
              <w:ind w:left="360" w:right="432"/>
            </w:pPr>
          </w:p>
          <w:p w:rsidR="00EC658E" w:rsidRDefault="00EC658E" w:rsidP="00EC658E">
            <w:pPr>
              <w:spacing w:line="360" w:lineRule="auto"/>
              <w:ind w:left="360" w:right="432"/>
            </w:pPr>
          </w:p>
          <w:p w:rsidR="00EC658E" w:rsidRDefault="00EC658E" w:rsidP="00EC658E">
            <w:pPr>
              <w:spacing w:line="360" w:lineRule="auto"/>
              <w:ind w:left="360" w:right="432"/>
            </w:pPr>
          </w:p>
          <w:p w:rsidR="00EC658E" w:rsidRDefault="00EC658E" w:rsidP="00EC658E">
            <w:pPr>
              <w:pBdr>
                <w:bottom w:val="single" w:sz="12" w:space="1" w:color="auto"/>
              </w:pBdr>
              <w:spacing w:line="360" w:lineRule="auto"/>
              <w:ind w:left="360" w:right="432"/>
            </w:pPr>
          </w:p>
          <w:p w:rsidR="00EC658E" w:rsidRDefault="00EC658E" w:rsidP="00EC658E">
            <w:pPr>
              <w:spacing w:line="360" w:lineRule="auto"/>
              <w:ind w:left="360" w:right="432"/>
            </w:pPr>
            <w:r>
              <w:t>Print</w:t>
            </w:r>
            <w:r>
              <w:tab/>
            </w:r>
            <w:r>
              <w:tab/>
            </w:r>
            <w:r>
              <w:tab/>
            </w:r>
            <w:r>
              <w:tab/>
            </w:r>
            <w:r>
              <w:tab/>
            </w:r>
            <w:r>
              <w:tab/>
              <w:t>Sign</w:t>
            </w:r>
            <w:r>
              <w:tab/>
            </w:r>
            <w:r>
              <w:tab/>
            </w:r>
            <w:r>
              <w:tab/>
            </w:r>
            <w:r>
              <w:tab/>
            </w:r>
            <w:r>
              <w:tab/>
              <w:t xml:space="preserve">Date </w:t>
            </w:r>
          </w:p>
          <w:p w:rsidR="00EB7F69" w:rsidRDefault="00EB7F69" w:rsidP="002A730C"/>
          <w:p w:rsidR="00EB7F69" w:rsidRDefault="00EB7F69" w:rsidP="002A730C"/>
          <w:p w:rsidR="00EB7F69" w:rsidRDefault="00EB7F69" w:rsidP="002A730C">
            <w:r>
              <w:t xml:space="preserve"> </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C658E" w:rsidRDefault="00EB7F69" w:rsidP="00EC658E">
            <w:r>
              <w:t>Revision Date:</w:t>
            </w:r>
            <w:r w:rsidR="00EC658E">
              <w:t xml:space="preserve"> </w:t>
            </w:r>
          </w:p>
          <w:p w:rsidR="00EC658E" w:rsidRDefault="00EC658E" w:rsidP="00EC658E">
            <w:r>
              <w:t>2/12; 1/14; 7/14;</w:t>
            </w:r>
          </w:p>
          <w:p w:rsidR="00EC658E" w:rsidRDefault="00EC658E" w:rsidP="00EC658E">
            <w:r>
              <w:t>2/15; 6/16</w:t>
            </w:r>
            <w:r w:rsidR="00B607F3">
              <w:t>; 3/17</w:t>
            </w:r>
          </w:p>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EC658E">
              <w:t>2 of 2</w:t>
            </w:r>
          </w:p>
          <w:p w:rsidR="00EB7F69" w:rsidRDefault="00EB7F69" w:rsidP="002A730C"/>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18"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6"/>
  </w:num>
  <w:num w:numId="3">
    <w:abstractNumId w:val="10"/>
  </w:num>
  <w:num w:numId="4">
    <w:abstractNumId w:val="14"/>
  </w:num>
  <w:num w:numId="5">
    <w:abstractNumId w:val="0"/>
  </w:num>
  <w:num w:numId="6">
    <w:abstractNumId w:val="13"/>
  </w:num>
  <w:num w:numId="7">
    <w:abstractNumId w:val="24"/>
  </w:num>
  <w:num w:numId="8">
    <w:abstractNumId w:val="21"/>
  </w:num>
  <w:num w:numId="9">
    <w:abstractNumId w:val="2"/>
  </w:num>
  <w:num w:numId="10">
    <w:abstractNumId w:val="4"/>
  </w:num>
  <w:num w:numId="11">
    <w:abstractNumId w:val="15"/>
  </w:num>
  <w:num w:numId="12">
    <w:abstractNumId w:val="1"/>
  </w:num>
  <w:num w:numId="13">
    <w:abstractNumId w:val="9"/>
  </w:num>
  <w:num w:numId="14">
    <w:abstractNumId w:val="5"/>
  </w:num>
  <w:num w:numId="15">
    <w:abstractNumId w:val="6"/>
  </w:num>
  <w:num w:numId="16">
    <w:abstractNumId w:val="11"/>
  </w:num>
  <w:num w:numId="17">
    <w:abstractNumId w:val="12"/>
  </w:num>
  <w:num w:numId="18">
    <w:abstractNumId w:val="22"/>
  </w:num>
  <w:num w:numId="19">
    <w:abstractNumId w:val="19"/>
  </w:num>
  <w:num w:numId="20">
    <w:abstractNumId w:val="7"/>
  </w:num>
  <w:num w:numId="21">
    <w:abstractNumId w:val="3"/>
  </w:num>
  <w:num w:numId="22">
    <w:abstractNumId w:val="20"/>
  </w:num>
  <w:num w:numId="23">
    <w:abstractNumId w:val="8"/>
  </w:num>
  <w:num w:numId="24">
    <w:abstractNumId w:val="18"/>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41F2D"/>
    <w:rsid w:val="00140886"/>
    <w:rsid w:val="00162F3A"/>
    <w:rsid w:val="001908A1"/>
    <w:rsid w:val="001C4DE9"/>
    <w:rsid w:val="001F4527"/>
    <w:rsid w:val="00231CDA"/>
    <w:rsid w:val="002A730C"/>
    <w:rsid w:val="00314A90"/>
    <w:rsid w:val="00333BB5"/>
    <w:rsid w:val="00347ED8"/>
    <w:rsid w:val="004602A8"/>
    <w:rsid w:val="00495518"/>
    <w:rsid w:val="004A3044"/>
    <w:rsid w:val="00510140"/>
    <w:rsid w:val="00547E8C"/>
    <w:rsid w:val="005915DC"/>
    <w:rsid w:val="005B31CA"/>
    <w:rsid w:val="00617068"/>
    <w:rsid w:val="006303CC"/>
    <w:rsid w:val="00670CED"/>
    <w:rsid w:val="0068775F"/>
    <w:rsid w:val="00693714"/>
    <w:rsid w:val="00772973"/>
    <w:rsid w:val="0077716E"/>
    <w:rsid w:val="0084125D"/>
    <w:rsid w:val="00863F06"/>
    <w:rsid w:val="008848AE"/>
    <w:rsid w:val="008D4541"/>
    <w:rsid w:val="008E5F8B"/>
    <w:rsid w:val="00953EA7"/>
    <w:rsid w:val="009560CA"/>
    <w:rsid w:val="009600BA"/>
    <w:rsid w:val="00977358"/>
    <w:rsid w:val="009B7383"/>
    <w:rsid w:val="009E3269"/>
    <w:rsid w:val="009E67CD"/>
    <w:rsid w:val="00A91B6D"/>
    <w:rsid w:val="00AF4E21"/>
    <w:rsid w:val="00B02F13"/>
    <w:rsid w:val="00B2514A"/>
    <w:rsid w:val="00B405E5"/>
    <w:rsid w:val="00B46C84"/>
    <w:rsid w:val="00B607F3"/>
    <w:rsid w:val="00B731B7"/>
    <w:rsid w:val="00B96F9E"/>
    <w:rsid w:val="00BC3FB3"/>
    <w:rsid w:val="00BC5BF6"/>
    <w:rsid w:val="00C12F1D"/>
    <w:rsid w:val="00C37945"/>
    <w:rsid w:val="00C50160"/>
    <w:rsid w:val="00C7775D"/>
    <w:rsid w:val="00C826D3"/>
    <w:rsid w:val="00C87D03"/>
    <w:rsid w:val="00CB556F"/>
    <w:rsid w:val="00CF6964"/>
    <w:rsid w:val="00D01EA7"/>
    <w:rsid w:val="00D22661"/>
    <w:rsid w:val="00DB151E"/>
    <w:rsid w:val="00EA510A"/>
    <w:rsid w:val="00EB7F69"/>
    <w:rsid w:val="00EC658E"/>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A27474E-5557-4F7A-8A26-133340589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7771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2018-09-12T18:30:00Z</dcterms:created>
  <dcterms:modified xsi:type="dcterms:W3CDTF">2018-09-12T18:30:00Z</dcterms:modified>
</cp:coreProperties>
</file>