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0F1E10">
        <w:tc>
          <w:tcPr>
            <w:tcW w:w="8748" w:type="dxa"/>
            <w:gridSpan w:val="4"/>
            <w:vAlign w:val="center"/>
          </w:tcPr>
          <w:p w:rsidR="00B731B7" w:rsidRDefault="00B731B7" w:rsidP="00B731B7">
            <w:bookmarkStart w:id="0" w:name="_GoBack"/>
            <w:bookmarkEnd w:id="0"/>
          </w:p>
          <w:p w:rsidR="00B731B7" w:rsidRDefault="00B73989" w:rsidP="00B73989">
            <w:pPr>
              <w:pStyle w:val="ListParagraph"/>
            </w:pPr>
            <w:r>
              <w:t xml:space="preserve"> </w:t>
            </w:r>
            <w:r w:rsidR="00870082">
              <w:t xml:space="preserve"> </w:t>
            </w:r>
            <w:r w:rsidR="00726878">
              <w:t xml:space="preserve">   </w:t>
            </w:r>
            <w:r w:rsidR="00870082">
              <w:t xml:space="preserve"> </w:t>
            </w:r>
            <w:r w:rsidR="00726878" w:rsidRPr="001155E9">
              <w:t xml:space="preserve">COURT LEAVE         </w:t>
            </w:r>
          </w:p>
          <w:p w:rsidR="00B731B7" w:rsidRDefault="00B731B7" w:rsidP="00B731B7"/>
        </w:tc>
        <w:tc>
          <w:tcPr>
            <w:tcW w:w="2340" w:type="dxa"/>
            <w:gridSpan w:val="2"/>
          </w:tcPr>
          <w:p w:rsidR="00B731B7" w:rsidRDefault="00B731B7"/>
          <w:p w:rsidR="008C090F" w:rsidRPr="000F1E10" w:rsidRDefault="00B731B7" w:rsidP="000F1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w:t>
            </w:r>
            <w:r w:rsidR="00726878" w:rsidRPr="001155E9">
              <w:t xml:space="preserve"> </w:t>
            </w:r>
            <w:r w:rsidR="00726878">
              <w:t xml:space="preserve">  </w:t>
            </w:r>
            <w:r w:rsidR="00726878" w:rsidRPr="001155E9">
              <w:t xml:space="preserve">448     </w:t>
            </w:r>
          </w:p>
          <w:p w:rsidR="00B731B7" w:rsidRDefault="00B731B7"/>
        </w:tc>
      </w:tr>
      <w:tr w:rsidR="00B731B7" w:rsidTr="000F1E10">
        <w:tc>
          <w:tcPr>
            <w:tcW w:w="11088" w:type="dxa"/>
            <w:gridSpan w:val="6"/>
          </w:tcPr>
          <w:p w:rsidR="00B731B7" w:rsidRDefault="00B731B7"/>
          <w:p w:rsidR="00726878" w:rsidRPr="001155E9" w:rsidRDefault="00726878" w:rsidP="00726878"/>
          <w:p w:rsidR="00726878" w:rsidRPr="001155E9" w:rsidRDefault="00726878" w:rsidP="00726878">
            <w:pPr>
              <w:ind w:left="567" w:right="666"/>
            </w:pPr>
            <w:r w:rsidRPr="001155E9">
              <w:t>POLICY:</w:t>
            </w:r>
          </w:p>
          <w:p w:rsidR="00726878" w:rsidRPr="001155E9" w:rsidRDefault="00726878" w:rsidP="00726878">
            <w:pPr>
              <w:ind w:left="567" w:right="666"/>
            </w:pPr>
          </w:p>
          <w:p w:rsidR="00726878" w:rsidRPr="001155E9" w:rsidRDefault="00726878" w:rsidP="00726878">
            <w:pPr>
              <w:ind w:left="567" w:right="666"/>
            </w:pPr>
            <w:r w:rsidRPr="001155E9">
              <w:t>Court Leave is authorized absence for an employee from scheduled work if subpoenaed to appear in local or federal court and the reason for the subpoena is employment related.</w:t>
            </w:r>
          </w:p>
          <w:p w:rsidR="00726878" w:rsidRPr="001155E9" w:rsidRDefault="00726878" w:rsidP="00726878">
            <w:pPr>
              <w:ind w:left="567" w:right="666"/>
            </w:pPr>
          </w:p>
          <w:p w:rsidR="00726878" w:rsidRPr="001155E9" w:rsidRDefault="00726878" w:rsidP="00726878">
            <w:pPr>
              <w:ind w:left="567" w:right="666"/>
            </w:pPr>
            <w:r w:rsidRPr="001155E9">
              <w:t>PROCEDURE:</w:t>
            </w:r>
          </w:p>
          <w:p w:rsidR="00726878" w:rsidRPr="001155E9" w:rsidRDefault="00726878" w:rsidP="00726878">
            <w:pPr>
              <w:ind w:left="567" w:right="666"/>
            </w:pPr>
          </w:p>
          <w:p w:rsidR="00726878" w:rsidRPr="001155E9" w:rsidRDefault="00473A0C" w:rsidP="00726878">
            <w:pPr>
              <w:numPr>
                <w:ilvl w:val="0"/>
                <w:numId w:val="2"/>
              </w:numPr>
              <w:ind w:right="666"/>
            </w:pPr>
            <w:r>
              <w:t xml:space="preserve"> E</w:t>
            </w:r>
            <w:r w:rsidR="00726878" w:rsidRPr="001155E9">
              <w:t>mployees are eligible from the date of hire.</w:t>
            </w:r>
          </w:p>
          <w:p w:rsidR="00726878" w:rsidRPr="001155E9" w:rsidRDefault="00726878" w:rsidP="00726878">
            <w:pPr>
              <w:ind w:left="567" w:right="666"/>
            </w:pPr>
          </w:p>
          <w:p w:rsidR="00726878" w:rsidRPr="001155E9" w:rsidRDefault="00726878" w:rsidP="00726878">
            <w:pPr>
              <w:numPr>
                <w:ilvl w:val="0"/>
                <w:numId w:val="2"/>
              </w:numPr>
              <w:ind w:right="666"/>
            </w:pPr>
            <w:r w:rsidRPr="001155E9">
              <w:t xml:space="preserve"> The facility will pay the employee's normal rate of compensation as long as the court leave is taken on an employee's scheduled day of work.  If the court attendance is on a non-scheduled work day, the facility will not reimburse the employee f</w:t>
            </w:r>
            <w:r w:rsidR="00473A0C">
              <w:t>or their</w:t>
            </w:r>
            <w:r>
              <w:t xml:space="preserve"> time spent in court.</w:t>
            </w:r>
          </w:p>
          <w:p w:rsidR="00726878" w:rsidRPr="001155E9" w:rsidRDefault="00726878" w:rsidP="00726878">
            <w:pPr>
              <w:ind w:left="567" w:right="666"/>
            </w:pPr>
          </w:p>
          <w:p w:rsidR="00726878" w:rsidRPr="001155E9" w:rsidRDefault="00726878" w:rsidP="00726878">
            <w:pPr>
              <w:numPr>
                <w:ilvl w:val="0"/>
                <w:numId w:val="2"/>
              </w:numPr>
              <w:ind w:right="666"/>
            </w:pPr>
            <w:r w:rsidRPr="001155E9">
              <w:t xml:space="preserve"> Conditions applicable for use:</w:t>
            </w:r>
          </w:p>
          <w:p w:rsidR="00726878" w:rsidRPr="001155E9" w:rsidRDefault="00726878" w:rsidP="00726878">
            <w:pPr>
              <w:ind w:left="567" w:right="666"/>
            </w:pPr>
          </w:p>
          <w:p w:rsidR="00726878" w:rsidRPr="001155E9" w:rsidRDefault="00473A0C" w:rsidP="00726878">
            <w:pPr>
              <w:numPr>
                <w:ilvl w:val="0"/>
                <w:numId w:val="3"/>
              </w:numPr>
              <w:ind w:left="1418" w:right="666"/>
            </w:pPr>
            <w:r>
              <w:t xml:space="preserve"> Employee must notify their</w:t>
            </w:r>
            <w:r w:rsidR="00726878" w:rsidRPr="001155E9">
              <w:t xml:space="preserve"> Department Head of subpoena and shall obtain from the Court Clerk proof of the number of days served as witness.</w:t>
            </w:r>
          </w:p>
          <w:p w:rsidR="00726878" w:rsidRPr="001155E9" w:rsidRDefault="00726878" w:rsidP="00726878">
            <w:pPr>
              <w:ind w:left="1418" w:right="666"/>
            </w:pPr>
          </w:p>
          <w:p w:rsidR="00726878" w:rsidRPr="001155E9" w:rsidRDefault="00726878" w:rsidP="00726878">
            <w:pPr>
              <w:numPr>
                <w:ilvl w:val="0"/>
                <w:numId w:val="3"/>
              </w:numPr>
              <w:ind w:left="1418" w:right="666"/>
            </w:pPr>
            <w:r w:rsidRPr="001155E9">
              <w:t xml:space="preserve"> The employee is to report to work on</w:t>
            </w:r>
            <w:r w:rsidR="00473A0C">
              <w:t xml:space="preserve"> scheduled work days when they are</w:t>
            </w:r>
            <w:r w:rsidRPr="001155E9">
              <w:t xml:space="preserve"> not needed as a witness.</w:t>
            </w:r>
          </w:p>
          <w:p w:rsidR="00726878" w:rsidRPr="001155E9" w:rsidRDefault="00726878" w:rsidP="00726878">
            <w:pPr>
              <w:ind w:left="1418" w:right="666"/>
            </w:pPr>
          </w:p>
          <w:p w:rsidR="00726878" w:rsidRPr="001155E9" w:rsidRDefault="00726878" w:rsidP="00726878">
            <w:pPr>
              <w:numPr>
                <w:ilvl w:val="0"/>
                <w:numId w:val="3"/>
              </w:numPr>
              <w:ind w:left="1418" w:right="666"/>
            </w:pPr>
            <w:r w:rsidRPr="001155E9">
              <w:t xml:space="preserve"> Evening and night employees need not work a regular shift if they have completed a full day of court leave.</w:t>
            </w:r>
          </w:p>
          <w:p w:rsidR="00726878" w:rsidRPr="001155E9" w:rsidRDefault="00726878" w:rsidP="00726878">
            <w:pPr>
              <w:ind w:left="567" w:right="666"/>
            </w:pPr>
          </w:p>
          <w:p w:rsidR="00726878" w:rsidRPr="001155E9" w:rsidRDefault="00726878" w:rsidP="00726878">
            <w:pPr>
              <w:pStyle w:val="BodyText2"/>
              <w:numPr>
                <w:ilvl w:val="0"/>
                <w:numId w:val="2"/>
              </w:numPr>
              <w:spacing w:after="0" w:line="240" w:lineRule="auto"/>
              <w:ind w:right="666"/>
            </w:pPr>
            <w:r w:rsidRPr="001155E9">
              <w:t xml:space="preserve"> If court leave is for a non-work related case, the employee must use appropriate personal or vacation leave.</w:t>
            </w:r>
          </w:p>
          <w:p w:rsidR="00726878" w:rsidRPr="001155E9" w:rsidRDefault="00726878" w:rsidP="00726878"/>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8038A4" w:rsidRDefault="008038A4"/>
          <w:p w:rsidR="00CA0AC0" w:rsidRDefault="00CA0AC0"/>
          <w:p w:rsidR="008038A4" w:rsidRDefault="008038A4"/>
          <w:p w:rsidR="008038A4" w:rsidRDefault="008038A4"/>
          <w:p w:rsidR="008038A4" w:rsidRDefault="008038A4"/>
          <w:p w:rsidR="008038A4" w:rsidRDefault="008038A4"/>
        </w:tc>
      </w:tr>
      <w:tr w:rsidR="00B731B7" w:rsidTr="000F1E10">
        <w:tc>
          <w:tcPr>
            <w:tcW w:w="2203" w:type="dxa"/>
          </w:tcPr>
          <w:p w:rsidR="00B731B7" w:rsidRDefault="00B731B7">
            <w:r>
              <w:t>Approved:</w:t>
            </w:r>
          </w:p>
        </w:tc>
        <w:tc>
          <w:tcPr>
            <w:tcW w:w="2203" w:type="dxa"/>
          </w:tcPr>
          <w:p w:rsidR="00B731B7" w:rsidRDefault="00B731B7" w:rsidP="00CA0AC0">
            <w:r>
              <w:t>Effective</w:t>
            </w:r>
            <w:r w:rsidR="00CA0AC0">
              <w:t xml:space="preserve"> </w:t>
            </w:r>
            <w:r>
              <w:t>Date:</w:t>
            </w:r>
          </w:p>
        </w:tc>
        <w:tc>
          <w:tcPr>
            <w:tcW w:w="2203" w:type="dxa"/>
          </w:tcPr>
          <w:p w:rsidR="00B731B7" w:rsidRDefault="00B731B7" w:rsidP="00CA0AC0">
            <w:r>
              <w:t>Revision</w:t>
            </w:r>
            <w:r w:rsidR="00CA0AC0">
              <w:t xml:space="preserve"> </w:t>
            </w:r>
            <w:r>
              <w:t>Date</w:t>
            </w:r>
            <w:r w:rsidR="00EF3EC8">
              <w:t>:</w:t>
            </w:r>
          </w:p>
          <w:p w:rsidR="00EF3EC8" w:rsidRDefault="00EF3EC8" w:rsidP="00CA0AC0">
            <w:r>
              <w:t>3/17</w:t>
            </w:r>
          </w:p>
        </w:tc>
        <w:tc>
          <w:tcPr>
            <w:tcW w:w="2203" w:type="dxa"/>
            <w:gridSpan w:val="2"/>
          </w:tcPr>
          <w:p w:rsidR="00B731B7" w:rsidRDefault="00B731B7">
            <w:r>
              <w:t>Change No.:</w:t>
            </w:r>
          </w:p>
        </w:tc>
        <w:tc>
          <w:tcPr>
            <w:tcW w:w="2276" w:type="dxa"/>
          </w:tcPr>
          <w:p w:rsidR="00B731B7" w:rsidRDefault="00B731B7">
            <w:r>
              <w:t>Page:</w:t>
            </w:r>
          </w:p>
          <w:p w:rsidR="00CA0AC0" w:rsidRDefault="00CA0AC0">
            <w:r>
              <w:t xml:space="preserve">  </w:t>
            </w:r>
          </w:p>
          <w:p w:rsidR="00B731B7" w:rsidRDefault="008C090F">
            <w:r>
              <w:t xml:space="preserve"> </w:t>
            </w:r>
            <w:r w:rsidR="00CA0AC0">
              <w:t xml:space="preserve">           </w:t>
            </w:r>
            <w:r>
              <w:t xml:space="preserve">1 of </w:t>
            </w:r>
            <w:r w:rsidR="008038A4">
              <w:t>1</w:t>
            </w:r>
          </w:p>
          <w:p w:rsidR="00B731B7" w:rsidRDefault="00B731B7"/>
        </w:tc>
      </w:tr>
    </w:tbl>
    <w:p w:rsidR="008C090F" w:rsidRDefault="008C090F" w:rsidP="00B731B7"/>
    <w:p w:rsidR="008C090F" w:rsidRDefault="008C090F" w:rsidP="00B731B7"/>
    <w:sectPr w:rsidR="008C090F"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E073ED"/>
    <w:multiLevelType w:val="hybridMultilevel"/>
    <w:tmpl w:val="46CE9EDC"/>
    <w:lvl w:ilvl="0" w:tplc="29E47D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529C7884"/>
    <w:multiLevelType w:val="hybridMultilevel"/>
    <w:tmpl w:val="43207F14"/>
    <w:lvl w:ilvl="0" w:tplc="0DA276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C31A0"/>
    <w:rsid w:val="000F1E10"/>
    <w:rsid w:val="00311324"/>
    <w:rsid w:val="00383692"/>
    <w:rsid w:val="00473A0C"/>
    <w:rsid w:val="00726878"/>
    <w:rsid w:val="008038A4"/>
    <w:rsid w:val="00870082"/>
    <w:rsid w:val="008C090F"/>
    <w:rsid w:val="009160F4"/>
    <w:rsid w:val="00B731B7"/>
    <w:rsid w:val="00B73989"/>
    <w:rsid w:val="00CA0AC0"/>
    <w:rsid w:val="00EF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58A038C-D288-4B9B-A2B3-5EEB50EE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C090F"/>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noProof/>
      <w:sz w:val="22"/>
      <w:szCs w:val="20"/>
    </w:rPr>
  </w:style>
  <w:style w:type="paragraph" w:styleId="BodyText2">
    <w:name w:val="Body Text 2"/>
    <w:basedOn w:val="Normal"/>
    <w:link w:val="BodyText2Char"/>
    <w:uiPriority w:val="99"/>
    <w:semiHidden/>
    <w:unhideWhenUsed/>
    <w:rsid w:val="00726878"/>
    <w:pPr>
      <w:spacing w:after="120" w:line="480" w:lineRule="auto"/>
    </w:pPr>
  </w:style>
  <w:style w:type="character" w:customStyle="1" w:styleId="BodyText2Char">
    <w:name w:val="Body Text 2 Char"/>
    <w:link w:val="BodyText2"/>
    <w:uiPriority w:val="99"/>
    <w:semiHidden/>
    <w:rsid w:val="00726878"/>
    <w:rPr>
      <w:sz w:val="24"/>
      <w:szCs w:val="24"/>
    </w:rPr>
  </w:style>
  <w:style w:type="paragraph" w:styleId="ListParagraph">
    <w:name w:val="List Paragraph"/>
    <w:basedOn w:val="Normal"/>
    <w:uiPriority w:val="34"/>
    <w:qFormat/>
    <w:rsid w:val="00B739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2018-09-12T18:29:00Z</dcterms:created>
  <dcterms:modified xsi:type="dcterms:W3CDTF">2018-09-12T18:29:00Z</dcterms:modified>
</cp:coreProperties>
</file>