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0B2854" w:rsidP="000B2854">
            <w:pPr>
              <w:pStyle w:val="ListParagraph"/>
            </w:pPr>
            <w:r>
              <w:t xml:space="preserve"> </w:t>
            </w:r>
            <w:r w:rsidR="00FC6D52">
              <w:t xml:space="preserve"> </w:t>
            </w:r>
            <w:r w:rsidR="00BC5BF6">
              <w:t xml:space="preserve"> </w:t>
            </w:r>
            <w:r w:rsidR="001F4527">
              <w:t xml:space="preserve">     </w:t>
            </w:r>
            <w:r w:rsidR="00B43295" w:rsidRPr="00B43295">
              <w:rPr>
                <w:rFonts w:ascii="Calibri" w:hAnsi="Calibri" w:cs="Calibri"/>
              </w:rPr>
              <w:t>CONCEALED CARRY</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B43295" w:rsidRPr="003633BA" w:rsidRDefault="00B43295" w:rsidP="00B43295">
            <w:pPr>
              <w:pStyle w:val="NoSpacing"/>
              <w:rPr>
                <w:b/>
              </w:rPr>
            </w:pPr>
            <w:r w:rsidRPr="003633BA">
              <w:rPr>
                <w:b/>
              </w:rPr>
              <w:t>Purpose:</w:t>
            </w:r>
          </w:p>
          <w:p w:rsidR="00B43295" w:rsidRPr="003633BA" w:rsidRDefault="00B43295" w:rsidP="00B43295">
            <w:pPr>
              <w:pStyle w:val="NoSpacing"/>
              <w:rPr>
                <w:b/>
              </w:rPr>
            </w:pPr>
          </w:p>
          <w:p w:rsidR="00B43295" w:rsidRPr="003633BA" w:rsidRDefault="00B43295" w:rsidP="00B43295">
            <w:pPr>
              <w:pStyle w:val="NoSpacing"/>
            </w:pPr>
            <w:r w:rsidRPr="003633BA">
              <w:t>Winning Wheels hereby establishes the Winning Wheels Concealed Carry Policy pursuant to the 2013 Illinois Firearm Concealed Carry Act (430 ILCS 66) and its enabling regulations. Section 65 (7) of the Act (Prohibited Areas) states that individuals are prohibited from carrying a firearm in a nursing home and Winning Wheels is committed to providing a safe and secure environment for the Winning Wheels residents, staff and visitors. In support of this commitment, Winning Wheels establishes restrictions on the ability to carry firearms or weapons on the Winning Wheels property.</w:t>
            </w:r>
          </w:p>
          <w:p w:rsidR="00B43295" w:rsidRPr="003633BA" w:rsidRDefault="00B43295" w:rsidP="00B43295">
            <w:pPr>
              <w:pStyle w:val="NoSpacing"/>
            </w:pPr>
          </w:p>
          <w:p w:rsidR="00B43295" w:rsidRPr="003633BA" w:rsidRDefault="00B43295" w:rsidP="00B43295">
            <w:pPr>
              <w:pStyle w:val="NoSpacing"/>
              <w:rPr>
                <w:b/>
              </w:rPr>
            </w:pPr>
            <w:r w:rsidRPr="003633BA">
              <w:rPr>
                <w:b/>
              </w:rPr>
              <w:t>Definitions:</w:t>
            </w:r>
          </w:p>
          <w:p w:rsidR="00B43295" w:rsidRPr="003633BA" w:rsidRDefault="00B43295" w:rsidP="00B43295">
            <w:pPr>
              <w:pStyle w:val="NoSpacing"/>
              <w:rPr>
                <w:b/>
              </w:rPr>
            </w:pPr>
          </w:p>
          <w:p w:rsidR="00B43295" w:rsidRPr="003633BA" w:rsidRDefault="00B43295" w:rsidP="00B43295">
            <w:pPr>
              <w:pStyle w:val="NoSpacing"/>
              <w:numPr>
                <w:ilvl w:val="0"/>
                <w:numId w:val="26"/>
              </w:numPr>
            </w:pPr>
            <w:r w:rsidRPr="003633BA">
              <w:t>“Bullying” is defined as: Conduct by any person covered by this Policy that is intended or that a reasonable person would know is likely to harm residents, staff or visitors or place them in reasonable fear or actual and substantial physical harm, mental harm or emotional distress.</w:t>
            </w:r>
          </w:p>
          <w:p w:rsidR="00B43295" w:rsidRPr="003633BA" w:rsidRDefault="00B43295" w:rsidP="00B43295">
            <w:pPr>
              <w:pStyle w:val="NoSpacing"/>
              <w:numPr>
                <w:ilvl w:val="0"/>
                <w:numId w:val="26"/>
              </w:numPr>
            </w:pPr>
            <w:r w:rsidRPr="003633BA">
              <w:t>A “firearm” is defined as: loaded or unloaded handgun. A “handgun” is defined as any device which is designed to expel a projectile or projectiles by the action of an explosion, expansion of gas, or escape of gas that is designed to be held and fired by the use of a single hand.</w:t>
            </w:r>
          </w:p>
          <w:p w:rsidR="00B43295" w:rsidRPr="003633BA" w:rsidRDefault="00B43295" w:rsidP="00B43295">
            <w:pPr>
              <w:pStyle w:val="NoSpacing"/>
              <w:numPr>
                <w:ilvl w:val="0"/>
                <w:numId w:val="26"/>
              </w:numPr>
            </w:pPr>
            <w:r w:rsidRPr="003633BA">
              <w:t xml:space="preserve">A “weapon” is defined as: any device, whether loaded or unloaded, that shoots a bullet, pellet, flare or any other projectile including those powered by CO2. This includes, but is not limited to, machine guns, rifles, shotguns, handguns or other firearm, BB/pellet gun, spring gun, paint ball gun, flare gun, stun gun, taser </w:t>
            </w:r>
            <w:r w:rsidR="00016312">
              <w:t xml:space="preserve">gun, </w:t>
            </w:r>
            <w:r w:rsidRPr="003633BA">
              <w:t xml:space="preserve">dart gun </w:t>
            </w:r>
            <w:r w:rsidR="00016312">
              <w:t xml:space="preserve">or </w:t>
            </w:r>
            <w:r w:rsidRPr="003633BA">
              <w:t>any ammunition for any such device</w:t>
            </w:r>
            <w:r w:rsidR="00016312">
              <w:t>s</w:t>
            </w:r>
            <w:r w:rsidRPr="003633BA">
              <w:t>. Any replica of the foregoing is also prohibited.</w:t>
            </w:r>
          </w:p>
          <w:p w:rsidR="00B43295" w:rsidRPr="003633BA" w:rsidRDefault="00B43295" w:rsidP="00B43295">
            <w:pPr>
              <w:pStyle w:val="NoSpacing"/>
              <w:ind w:left="720"/>
            </w:pPr>
          </w:p>
          <w:p w:rsidR="00B43295" w:rsidRPr="003633BA" w:rsidRDefault="00B43295" w:rsidP="00B43295">
            <w:pPr>
              <w:pStyle w:val="NoSpacing"/>
              <w:ind w:left="720"/>
            </w:pPr>
            <w:r w:rsidRPr="003633BA">
              <w:t>Any explosive device including, but not limited to, firecrackers and black powder.</w:t>
            </w:r>
          </w:p>
          <w:p w:rsidR="00B43295" w:rsidRPr="003633BA" w:rsidRDefault="00B43295" w:rsidP="00B43295">
            <w:pPr>
              <w:pStyle w:val="NoSpacing"/>
              <w:ind w:left="720"/>
            </w:pPr>
          </w:p>
          <w:p w:rsidR="00B43295" w:rsidRPr="003633BA" w:rsidRDefault="00B43295" w:rsidP="00B43295">
            <w:pPr>
              <w:pStyle w:val="NoSpacing"/>
              <w:ind w:left="720"/>
            </w:pPr>
            <w:r w:rsidRPr="003633BA">
              <w:t>Any device that is designed or traditionally used to inflict harm including, but not limited to, bows and arrows, any knife with a blade longer than three inches, hunting knife, fixed blade knife, throwing knives, dagger, razor or other cutting instrument the blade of which is exposed.</w:t>
            </w:r>
          </w:p>
          <w:p w:rsidR="00FC6D52" w:rsidRDefault="00FC6D52" w:rsidP="00FC6D52"/>
          <w:p w:rsidR="00B43295" w:rsidRPr="003633BA" w:rsidRDefault="00B43295" w:rsidP="00B43295">
            <w:pPr>
              <w:pStyle w:val="NoSpacing"/>
              <w:rPr>
                <w:b/>
              </w:rPr>
            </w:pPr>
            <w:r w:rsidRPr="003633BA">
              <w:rPr>
                <w:b/>
              </w:rPr>
              <w:t>Policy:</w:t>
            </w:r>
          </w:p>
          <w:p w:rsidR="00B43295" w:rsidRPr="003633BA" w:rsidRDefault="00B43295" w:rsidP="00B43295">
            <w:pPr>
              <w:pStyle w:val="NoSpacing"/>
              <w:rPr>
                <w:b/>
              </w:rPr>
            </w:pPr>
          </w:p>
          <w:p w:rsidR="00B43295" w:rsidRPr="003633BA" w:rsidRDefault="00B43295" w:rsidP="00B43295">
            <w:pPr>
              <w:pStyle w:val="NoSpacing"/>
              <w:rPr>
                <w:b/>
              </w:rPr>
            </w:pPr>
            <w:r w:rsidRPr="003633BA">
              <w:rPr>
                <w:b/>
              </w:rPr>
              <w:t>Prohibited Activities:</w:t>
            </w:r>
          </w:p>
          <w:p w:rsidR="00B43295" w:rsidRPr="003633BA" w:rsidRDefault="00B43295" w:rsidP="00B43295">
            <w:pPr>
              <w:pStyle w:val="NoSpacing"/>
              <w:numPr>
                <w:ilvl w:val="0"/>
                <w:numId w:val="27"/>
              </w:numPr>
              <w:rPr>
                <w:b/>
              </w:rPr>
            </w:pPr>
            <w:r w:rsidRPr="003633BA">
              <w:rPr>
                <w:b/>
              </w:rPr>
              <w:t>Weapons or Firearms</w:t>
            </w:r>
          </w:p>
          <w:p w:rsidR="00B43295" w:rsidRPr="003633BA" w:rsidRDefault="00B43295" w:rsidP="00B43295">
            <w:pPr>
              <w:pStyle w:val="NoSpacing"/>
              <w:ind w:left="720"/>
            </w:pPr>
          </w:p>
          <w:p w:rsidR="00B43295" w:rsidRPr="003633BA" w:rsidRDefault="00B43295" w:rsidP="00B43295">
            <w:pPr>
              <w:pStyle w:val="NoSpacing"/>
              <w:ind w:left="720"/>
            </w:pPr>
            <w:r w:rsidRPr="003633BA">
              <w:t xml:space="preserve">Winning Wheels maintains a Weapons and Firearms free property. “Property” includes, but is not limited to, the main Winning Wheels property in Prophetstown; the S.T.R.I.V.E. and Frontier Hollow property; the Lyndon Progress Center property including the main building, the back building and the ‘bus barn’. No person covered by this policy, unless authorized by law or specifically exempted by federal or state law, is authorized to possess </w:t>
            </w:r>
            <w:r w:rsidR="00050DD8">
              <w:t>a weapon or firearm while on</w:t>
            </w:r>
            <w:r w:rsidRPr="003633BA">
              <w:t xml:space="preserve"> Winning Wheels properties or while engaged in Winning Wheels-related business or activities.</w:t>
            </w:r>
          </w:p>
          <w:p w:rsidR="00617068" w:rsidRDefault="00617068" w:rsidP="00FC6D52"/>
          <w:p w:rsidR="00B43295" w:rsidRDefault="00B43295" w:rsidP="00FC6D52"/>
          <w:p w:rsidR="00B43295" w:rsidRDefault="00B43295" w:rsidP="00FC6D52"/>
          <w:p w:rsidR="00B43295" w:rsidRDefault="00B43295" w:rsidP="00FC6D52"/>
          <w:p w:rsidR="00B43295" w:rsidRDefault="00B43295" w:rsidP="00FC6D52"/>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p w:rsidR="00B43295" w:rsidRDefault="00B43295" w:rsidP="00FC6D52"/>
          <w:p w:rsidR="00B43295" w:rsidRDefault="00B43295" w:rsidP="00FC6D52">
            <w:r>
              <w:t xml:space="preserve">          2/2014</w:t>
            </w:r>
          </w:p>
        </w:tc>
        <w:tc>
          <w:tcPr>
            <w:tcW w:w="2203" w:type="dxa"/>
          </w:tcPr>
          <w:p w:rsidR="00FC6D52" w:rsidRDefault="00B02F13" w:rsidP="00FC6D52">
            <w:r>
              <w:t>Revision Date:</w:t>
            </w:r>
          </w:p>
          <w:p w:rsidR="009E67CD" w:rsidRDefault="009E67CD" w:rsidP="00FC6D52"/>
          <w:p w:rsidR="009E67CD" w:rsidRDefault="0016452D" w:rsidP="00FC6D52">
            <w:r>
              <w:t>3/17</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B43295">
              <w:t>1 of 3</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0B2854" w:rsidP="000B2854">
            <w:pPr>
              <w:pStyle w:val="ListParagraph"/>
            </w:pPr>
            <w:r>
              <w:t xml:space="preserve"> </w:t>
            </w:r>
            <w:r w:rsidR="00EB7F69">
              <w:t xml:space="preserve">      </w:t>
            </w:r>
            <w:r w:rsidR="00B43295" w:rsidRPr="00B43295">
              <w:rPr>
                <w:rFonts w:ascii="Calibri" w:hAnsi="Calibri" w:cs="Calibri"/>
              </w:rPr>
              <w:t>CONCEALED CARRY</w:t>
            </w:r>
            <w:r w:rsidR="00EB7F69">
              <w:t xml:space="preserve"> </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B43295" w:rsidRPr="003633BA" w:rsidRDefault="00B43295" w:rsidP="00B43295">
            <w:pPr>
              <w:pStyle w:val="NoSpacing"/>
              <w:ind w:left="720"/>
            </w:pPr>
            <w:r w:rsidRPr="003633BA">
              <w:t>It is the policy of Winning Wheels to prohibit:</w:t>
            </w:r>
          </w:p>
          <w:p w:rsidR="00B43295" w:rsidRPr="003633BA" w:rsidRDefault="00050DD8" w:rsidP="00B43295">
            <w:pPr>
              <w:pStyle w:val="NoSpacing"/>
              <w:numPr>
                <w:ilvl w:val="0"/>
                <w:numId w:val="28"/>
              </w:numPr>
              <w:rPr>
                <w:b/>
              </w:rPr>
            </w:pPr>
            <w:r>
              <w:t>P</w:t>
            </w:r>
            <w:r w:rsidR="00B43295" w:rsidRPr="003633BA">
              <w:t>erson</w:t>
            </w:r>
            <w:r>
              <w:t>s</w:t>
            </w:r>
            <w:r w:rsidR="00B43295" w:rsidRPr="003633BA">
              <w:t xml:space="preserve"> covered by this policy from possessing a weapon or firearm on property owned, leased or controlled by Winning Wheels, even if that person has a valid federal or state license to possess a weapon or firearm.</w:t>
            </w:r>
          </w:p>
          <w:p w:rsidR="00B43295" w:rsidRPr="003633BA" w:rsidRDefault="00050DD8" w:rsidP="00B43295">
            <w:pPr>
              <w:pStyle w:val="NoSpacing"/>
              <w:numPr>
                <w:ilvl w:val="0"/>
                <w:numId w:val="28"/>
              </w:numPr>
              <w:rPr>
                <w:b/>
              </w:rPr>
            </w:pPr>
            <w:r>
              <w:t>P</w:t>
            </w:r>
            <w:r w:rsidR="00B43295" w:rsidRPr="003633BA">
              <w:t>erson</w:t>
            </w:r>
            <w:r>
              <w:t>s</w:t>
            </w:r>
            <w:r w:rsidR="00B43295" w:rsidRPr="003633BA">
              <w:t xml:space="preserve"> covered by this policy from displaying, brandishing, discharging</w:t>
            </w:r>
            <w:r>
              <w:t xml:space="preserve"> or otherwise using </w:t>
            </w:r>
            <w:r w:rsidR="00B43295" w:rsidRPr="003633BA">
              <w:t>weapons or firearms, including concealed weapons or firearms.</w:t>
            </w:r>
          </w:p>
          <w:p w:rsidR="00B43295" w:rsidRPr="003633BA" w:rsidRDefault="00B43295" w:rsidP="00B43295">
            <w:pPr>
              <w:pStyle w:val="NoSpacing"/>
            </w:pPr>
          </w:p>
          <w:p w:rsidR="00B43295" w:rsidRPr="003633BA" w:rsidRDefault="00B43295" w:rsidP="00B43295">
            <w:pPr>
              <w:pStyle w:val="NoSpacing"/>
              <w:numPr>
                <w:ilvl w:val="0"/>
                <w:numId w:val="27"/>
              </w:numPr>
              <w:rPr>
                <w:b/>
              </w:rPr>
            </w:pPr>
            <w:r w:rsidRPr="003633BA">
              <w:rPr>
                <w:b/>
              </w:rPr>
              <w:t>Other Prohibited Activities</w:t>
            </w:r>
          </w:p>
          <w:p w:rsidR="00B43295" w:rsidRPr="003633BA" w:rsidRDefault="00B43295" w:rsidP="00B43295">
            <w:pPr>
              <w:pStyle w:val="NoSpacing"/>
              <w:ind w:left="720"/>
            </w:pPr>
            <w:r w:rsidRPr="003633BA">
              <w:t>It is the policy o</w:t>
            </w:r>
            <w:r w:rsidR="00050DD8">
              <w:t>f Winning Wheels to prohibit</w:t>
            </w:r>
            <w:r w:rsidRPr="003633BA">
              <w:t xml:space="preserve"> persons covered by this policy from making threats, bullying, intimidating or engaging in acts of violence. Such behavior or actions will not be tolerated and may result in discipline, up to and including but not limited to, immediate termination and banishment from Winning Wheels properties.</w:t>
            </w:r>
          </w:p>
          <w:p w:rsidR="00B43295" w:rsidRPr="003633BA" w:rsidRDefault="00B43295" w:rsidP="00B43295">
            <w:pPr>
              <w:pStyle w:val="NoSpacing"/>
              <w:numPr>
                <w:ilvl w:val="0"/>
                <w:numId w:val="27"/>
              </w:numPr>
              <w:rPr>
                <w:b/>
              </w:rPr>
            </w:pPr>
            <w:r w:rsidRPr="003633BA">
              <w:rPr>
                <w:b/>
              </w:rPr>
              <w:t>Exceptions</w:t>
            </w:r>
          </w:p>
          <w:p w:rsidR="00B43295" w:rsidRPr="003633BA" w:rsidRDefault="00B43295" w:rsidP="00B43295">
            <w:pPr>
              <w:pStyle w:val="NoSpacing"/>
              <w:ind w:left="720"/>
            </w:pPr>
            <w:r w:rsidRPr="003633BA">
              <w:t>The provisions of this policy do not apply to the possession of weapons or firearms if the possession is related to one of the following exceptions:</w:t>
            </w:r>
          </w:p>
          <w:p w:rsidR="00B43295" w:rsidRPr="003633BA" w:rsidRDefault="00B43295" w:rsidP="00B43295">
            <w:pPr>
              <w:pStyle w:val="NoSpacing"/>
              <w:numPr>
                <w:ilvl w:val="0"/>
                <w:numId w:val="29"/>
              </w:numPr>
              <w:rPr>
                <w:b/>
              </w:rPr>
            </w:pPr>
            <w:r w:rsidRPr="003633BA">
              <w:t>The weapon or firearm is carried by a full-time law enforcement officer required to carry a weapon or fire</w:t>
            </w:r>
            <w:r w:rsidR="00050DD8">
              <w:t>arm as a condition of their</w:t>
            </w:r>
            <w:r w:rsidRPr="003633BA">
              <w:t xml:space="preserve"> employment; or the weapon or firearm is carried by an enforcement officer from an external agency conducting official business at Winning Wheels.</w:t>
            </w:r>
          </w:p>
          <w:p w:rsidR="00B43295" w:rsidRPr="003633BA" w:rsidRDefault="00050DD8" w:rsidP="00B43295">
            <w:pPr>
              <w:pStyle w:val="NoSpacing"/>
              <w:numPr>
                <w:ilvl w:val="0"/>
                <w:numId w:val="29"/>
              </w:numPr>
              <w:rPr>
                <w:b/>
              </w:rPr>
            </w:pPr>
            <w:r>
              <w:t>O</w:t>
            </w:r>
            <w:r w:rsidR="00B43295" w:rsidRPr="003633BA">
              <w:t>ther exception</w:t>
            </w:r>
            <w:r>
              <w:t>s that are</w:t>
            </w:r>
            <w:r w:rsidR="00B43295" w:rsidRPr="003633BA">
              <w:t xml:space="preserve"> deemed necessary as determined b</w:t>
            </w:r>
            <w:r>
              <w:t>y</w:t>
            </w:r>
            <w:r w:rsidR="00B43295" w:rsidRPr="003633BA">
              <w:t xml:space="preserve"> American Health Enterprises. </w:t>
            </w:r>
          </w:p>
          <w:p w:rsidR="00B43295" w:rsidRPr="003633BA" w:rsidRDefault="00B43295" w:rsidP="00B43295">
            <w:pPr>
              <w:pStyle w:val="NoSpacing"/>
            </w:pPr>
          </w:p>
          <w:p w:rsidR="00B43295" w:rsidRPr="003633BA" w:rsidRDefault="00B43295" w:rsidP="00B43295">
            <w:pPr>
              <w:pStyle w:val="NoSpacing"/>
            </w:pPr>
            <w:r w:rsidRPr="003633BA">
              <w:rPr>
                <w:b/>
              </w:rPr>
              <w:t>Locations at Which Policy Applies</w:t>
            </w:r>
          </w:p>
          <w:p w:rsidR="00B43295" w:rsidRPr="003633BA" w:rsidRDefault="00B43295" w:rsidP="00B43295">
            <w:pPr>
              <w:pStyle w:val="NoSpacing"/>
            </w:pPr>
          </w:p>
          <w:p w:rsidR="00B43295" w:rsidRPr="003633BA" w:rsidRDefault="00B43295" w:rsidP="00B43295">
            <w:pPr>
              <w:pStyle w:val="NoSpacing"/>
            </w:pPr>
            <w:r w:rsidRPr="003633BA">
              <w:t>For the purposes of this policy, ‘property</w:t>
            </w:r>
            <w:r w:rsidR="00050DD8">
              <w:t xml:space="preserve"> of Winning Wheels’ includes</w:t>
            </w:r>
            <w:r w:rsidRPr="003633BA">
              <w:t xml:space="preserve"> vehicle</w:t>
            </w:r>
            <w:r w:rsidR="00050DD8">
              <w:t>s</w:t>
            </w:r>
            <w:r w:rsidRPr="003633BA">
              <w:t>, building</w:t>
            </w:r>
            <w:r w:rsidR="00050DD8">
              <w:t>s</w:t>
            </w:r>
            <w:r w:rsidRPr="003633BA">
              <w:t>, or storage shed</w:t>
            </w:r>
            <w:r w:rsidR="00050DD8">
              <w:t>s</w:t>
            </w:r>
            <w:r w:rsidRPr="003633BA">
              <w:t xml:space="preserve"> whether owned, leased or operated by</w:t>
            </w:r>
            <w:r w:rsidR="00050DD8">
              <w:t xml:space="preserve"> Winning Wheels, and real properties</w:t>
            </w:r>
            <w:r w:rsidRPr="003633BA">
              <w:t>, including parking areas, sidewalks and common areas under the control of Winning Wheels. “Property” includes, but is not limited to, the main Winning Wheels property in Prophetstown; the S.T.R.I.V.E. and Frontier Hollow property; the Lyndon Progress Center property including the main building, the back building and the ‘bus barn’.</w:t>
            </w:r>
          </w:p>
          <w:p w:rsidR="00B43295" w:rsidRPr="003633BA" w:rsidRDefault="00B43295" w:rsidP="00B43295">
            <w:pPr>
              <w:pStyle w:val="NoSpacing"/>
            </w:pPr>
          </w:p>
          <w:p w:rsidR="00B43295" w:rsidRPr="003633BA" w:rsidRDefault="00B43295" w:rsidP="00B43295">
            <w:pPr>
              <w:pStyle w:val="NoSpacing"/>
              <w:numPr>
                <w:ilvl w:val="0"/>
                <w:numId w:val="30"/>
              </w:numPr>
            </w:pPr>
            <w:r w:rsidRPr="003633BA">
              <w:rPr>
                <w:b/>
              </w:rPr>
              <w:t>Parking</w:t>
            </w:r>
          </w:p>
          <w:p w:rsidR="00B43295" w:rsidRPr="003633BA" w:rsidRDefault="00B43295" w:rsidP="00B43295">
            <w:pPr>
              <w:pStyle w:val="NoSpacing"/>
              <w:ind w:left="720"/>
            </w:pPr>
            <w:r w:rsidRPr="003633BA">
              <w:t>A weapon or firearm may be transported into a parking area within a vehicle if the weapon or firearm and its ammunition remain locked in a case out of plain view within the parked vehicle. “Case” is defined as a glove compartment or console that completely encases the weapon or firearm and its ammunition, the trunk of the vehicle, or a weapon or firearm carrying box, shipping box or other container</w:t>
            </w:r>
            <w:r w:rsidR="00050DD8">
              <w:t>. The weapon or firearm may</w:t>
            </w:r>
            <w:r w:rsidRPr="003633BA">
              <w:t xml:space="preserve"> be removed for the limited purpose of storage or retrieval from within the trunk of the vehicle. A weapon or firearm must first be unloaded before removal from the vehicle.</w:t>
            </w:r>
          </w:p>
          <w:p w:rsidR="00EB7F69" w:rsidRDefault="00EB7F69" w:rsidP="002A730C"/>
          <w:p w:rsidR="00EB7F69" w:rsidRDefault="00EB7F69" w:rsidP="002A730C"/>
          <w:p w:rsidR="00B43295" w:rsidRDefault="00B43295" w:rsidP="002A730C"/>
          <w:p w:rsidR="00B43295" w:rsidRDefault="00B43295" w:rsidP="002A730C"/>
          <w:p w:rsidR="00050DD8" w:rsidRDefault="00050DD8" w:rsidP="002A730C"/>
          <w:p w:rsidR="00B43295" w:rsidRDefault="00B43295" w:rsidP="002A730C"/>
          <w:p w:rsidR="00B43295" w:rsidRDefault="00B43295" w:rsidP="002A730C"/>
          <w:p w:rsidR="00B43295" w:rsidRDefault="00B43295"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B43295" w:rsidRDefault="00B43295" w:rsidP="002A730C"/>
          <w:p w:rsidR="00B43295" w:rsidRDefault="00B43295" w:rsidP="002A730C">
            <w:r>
              <w:t xml:space="preserve">           2/2014</w:t>
            </w:r>
          </w:p>
        </w:tc>
        <w:tc>
          <w:tcPr>
            <w:tcW w:w="2203" w:type="dxa"/>
          </w:tcPr>
          <w:p w:rsidR="00EB7F69" w:rsidRDefault="00EB7F69" w:rsidP="002A730C">
            <w:r>
              <w:t>Revision Date:</w:t>
            </w:r>
          </w:p>
          <w:p w:rsidR="00EB7F69" w:rsidRDefault="00EB7F69" w:rsidP="002A730C"/>
          <w:p w:rsidR="00EB7F69" w:rsidRDefault="0016452D" w:rsidP="002A730C">
            <w:r>
              <w:t>3/17</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B43295">
              <w:t>2 of 3</w:t>
            </w:r>
          </w:p>
          <w:p w:rsidR="00EB7F69" w:rsidRDefault="00EB7F69" w:rsidP="002A730C"/>
        </w:tc>
      </w:tr>
    </w:tbl>
    <w:p w:rsidR="00EB7F69" w:rsidRDefault="00EB7F69" w:rsidP="00B731B7"/>
    <w:p w:rsidR="00EB7F69" w:rsidRDefault="00EB7F69"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EB7F69" w:rsidTr="002A730C">
        <w:tc>
          <w:tcPr>
            <w:tcW w:w="8748" w:type="dxa"/>
            <w:gridSpan w:val="4"/>
            <w:vAlign w:val="center"/>
          </w:tcPr>
          <w:p w:rsidR="00EB7F69" w:rsidRDefault="00EB7F69" w:rsidP="002A730C"/>
          <w:p w:rsidR="00EB7F69" w:rsidRDefault="000B2854" w:rsidP="000B2854">
            <w:pPr>
              <w:pStyle w:val="ListParagraph"/>
            </w:pPr>
            <w:r>
              <w:t xml:space="preserve"> </w:t>
            </w:r>
            <w:r w:rsidR="00EB7F69">
              <w:t xml:space="preserve">       </w:t>
            </w:r>
            <w:r w:rsidR="00B43295" w:rsidRPr="00B43295">
              <w:rPr>
                <w:rFonts w:ascii="Calibri" w:hAnsi="Calibri" w:cs="Calibri"/>
              </w:rPr>
              <w:t>CONCEALED CARRY</w:t>
            </w:r>
          </w:p>
          <w:p w:rsidR="00EB7F69" w:rsidRDefault="00EB7F69" w:rsidP="002A730C"/>
        </w:tc>
        <w:tc>
          <w:tcPr>
            <w:tcW w:w="2340" w:type="dxa"/>
            <w:gridSpan w:val="2"/>
          </w:tcPr>
          <w:p w:rsidR="00EB7F69" w:rsidRDefault="00EB7F69" w:rsidP="002A730C"/>
          <w:p w:rsidR="00EB7F69" w:rsidRPr="001F4527" w:rsidRDefault="00EB7F69" w:rsidP="002A73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EB7F69" w:rsidRDefault="00EB7F69" w:rsidP="002A730C"/>
        </w:tc>
      </w:tr>
      <w:tr w:rsidR="00EB7F69" w:rsidTr="002A730C">
        <w:tc>
          <w:tcPr>
            <w:tcW w:w="11088" w:type="dxa"/>
            <w:gridSpan w:val="6"/>
          </w:tcPr>
          <w:p w:rsidR="00EB7F69" w:rsidRDefault="00EB7F69" w:rsidP="002A730C"/>
          <w:p w:rsidR="00B43295" w:rsidRPr="003633BA" w:rsidRDefault="00B43295" w:rsidP="00B43295">
            <w:pPr>
              <w:pStyle w:val="NoSpacing"/>
              <w:rPr>
                <w:b/>
              </w:rPr>
            </w:pPr>
            <w:r w:rsidRPr="003633BA">
              <w:rPr>
                <w:b/>
              </w:rPr>
              <w:t>Enforcement</w:t>
            </w:r>
          </w:p>
          <w:p w:rsidR="00B43295" w:rsidRPr="003633BA" w:rsidRDefault="00B43295" w:rsidP="00B43295">
            <w:pPr>
              <w:pStyle w:val="NoSpacing"/>
            </w:pPr>
          </w:p>
          <w:p w:rsidR="00B43295" w:rsidRPr="003633BA" w:rsidRDefault="00050DD8" w:rsidP="00B43295">
            <w:pPr>
              <w:pStyle w:val="NoSpacing"/>
              <w:rPr>
                <w:b/>
              </w:rPr>
            </w:pPr>
            <w:r>
              <w:t>W</w:t>
            </w:r>
            <w:r w:rsidR="00B43295" w:rsidRPr="003633BA">
              <w:t>eapon</w:t>
            </w:r>
            <w:r>
              <w:t>s</w:t>
            </w:r>
            <w:r w:rsidR="00B43295" w:rsidRPr="003633BA">
              <w:t xml:space="preserve"> or dangerous instrument</w:t>
            </w:r>
            <w:r>
              <w:t>s</w:t>
            </w:r>
            <w:r w:rsidR="00B43295" w:rsidRPr="003633BA">
              <w:t xml:space="preserve"> on Winning Wheels property is subject to confiscation. Employees’ desks, lockers, workstations, offices and files may be subject to security searches, if warranted. The Administrator or a designee and/or local authorities may conduct the searches, when deemed appropriate. The employee may refuse the search; however, such refusal may result in termination for refusal to cooperate with an investigation as outlined in the Disciplinary Action policy. Winning Wheels reserves the right to conduct searches on its property or authorize searches by law enforcement on its property without the employee being present.</w:t>
            </w:r>
          </w:p>
          <w:p w:rsidR="00B43295" w:rsidRPr="003633BA" w:rsidRDefault="00B43295" w:rsidP="00B43295">
            <w:pPr>
              <w:pStyle w:val="NoSpacing"/>
            </w:pPr>
          </w:p>
          <w:p w:rsidR="00B43295" w:rsidRPr="003633BA" w:rsidRDefault="00050DD8" w:rsidP="00B43295">
            <w:pPr>
              <w:pStyle w:val="NoSpacing"/>
            </w:pPr>
            <w:r>
              <w:t>I</w:t>
            </w:r>
            <w:r w:rsidR="00B43295" w:rsidRPr="003633BA">
              <w:t>ndividual</w:t>
            </w:r>
            <w:r>
              <w:t>s</w:t>
            </w:r>
            <w:r w:rsidR="00B43295" w:rsidRPr="003633BA">
              <w:t xml:space="preserve"> visiting or conducting business on the property of Winning Wheels found to have carried a weapon or firearm onto the property knowingly, or under circumstances in which the person shou</w:t>
            </w:r>
            <w:r>
              <w:t>ld have known they were</w:t>
            </w:r>
            <w:r w:rsidR="00B43295" w:rsidRPr="003633BA">
              <w:t xml:space="preserve"> in possession of a weapon or </w:t>
            </w:r>
            <w:r>
              <w:t xml:space="preserve">firearm, may be banned from </w:t>
            </w:r>
            <w:r w:rsidR="00B43295" w:rsidRPr="003633BA">
              <w:t>Winning Wheels properties and in the case of an employee, will be subject to immediate discharge.</w:t>
            </w:r>
          </w:p>
          <w:p w:rsidR="00B43295" w:rsidRPr="003633BA" w:rsidRDefault="00B43295" w:rsidP="00B43295">
            <w:pPr>
              <w:pStyle w:val="NoSpacing"/>
            </w:pPr>
          </w:p>
          <w:p w:rsidR="00B43295" w:rsidRPr="003633BA" w:rsidRDefault="00050DD8" w:rsidP="00B43295">
            <w:pPr>
              <w:pStyle w:val="NoSpacing"/>
            </w:pPr>
            <w:r>
              <w:t>I</w:t>
            </w:r>
            <w:r w:rsidR="00B43295" w:rsidRPr="003633BA">
              <w:t>ndividual</w:t>
            </w:r>
            <w:r>
              <w:t>s</w:t>
            </w:r>
            <w:r w:rsidR="00B43295" w:rsidRPr="003633BA">
              <w:t xml:space="preserve"> found to have carried a weapon or firearm onto the property of Winning Wheels knowingly, or found to be carrying a weapon or firearm under circumstances in which the individual shou</w:t>
            </w:r>
            <w:r>
              <w:t>ld have known they were</w:t>
            </w:r>
            <w:r w:rsidR="00B43295" w:rsidRPr="003633BA">
              <w:t xml:space="preserve"> in possession of a weapon or firearm, may be subject to possible arrest and prosecution by external law enforcement agencies. </w:t>
            </w:r>
          </w:p>
          <w:p w:rsidR="00EB7F69" w:rsidRDefault="00EB7F69" w:rsidP="002A730C"/>
          <w:p w:rsidR="00B43295" w:rsidRDefault="00B43295" w:rsidP="002A730C"/>
          <w:p w:rsidR="00B43295" w:rsidRDefault="00B43295" w:rsidP="002A730C"/>
          <w:p w:rsidR="00B43295" w:rsidRDefault="00B43295" w:rsidP="002A730C"/>
          <w:p w:rsidR="00B43295" w:rsidRDefault="00B43295"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p w:rsidR="00EB7F69" w:rsidRDefault="00EB7F69" w:rsidP="002A730C"/>
        </w:tc>
      </w:tr>
      <w:tr w:rsidR="00EB7F69" w:rsidTr="002A730C">
        <w:tc>
          <w:tcPr>
            <w:tcW w:w="2203" w:type="dxa"/>
          </w:tcPr>
          <w:p w:rsidR="00EB7F69" w:rsidRDefault="00EB7F69" w:rsidP="002A730C">
            <w:r>
              <w:t>Approved:</w:t>
            </w:r>
          </w:p>
        </w:tc>
        <w:tc>
          <w:tcPr>
            <w:tcW w:w="2203" w:type="dxa"/>
          </w:tcPr>
          <w:p w:rsidR="00EB7F69" w:rsidRDefault="00EB7F69" w:rsidP="002A730C">
            <w:r>
              <w:t>Effective Date:</w:t>
            </w:r>
          </w:p>
          <w:p w:rsidR="00B43295" w:rsidRDefault="00B43295" w:rsidP="002A730C"/>
          <w:p w:rsidR="00B43295" w:rsidRDefault="00B43295" w:rsidP="002A730C">
            <w:r>
              <w:t xml:space="preserve">          2/2014</w:t>
            </w:r>
          </w:p>
        </w:tc>
        <w:tc>
          <w:tcPr>
            <w:tcW w:w="2203" w:type="dxa"/>
          </w:tcPr>
          <w:p w:rsidR="00EB7F69" w:rsidRDefault="00EB7F69" w:rsidP="002A730C">
            <w:r>
              <w:t>Revision Date:</w:t>
            </w:r>
          </w:p>
          <w:p w:rsidR="00EB7F69" w:rsidRDefault="00EB7F69" w:rsidP="002A730C"/>
          <w:p w:rsidR="00EB7F69" w:rsidRDefault="0016452D" w:rsidP="002A730C">
            <w:r>
              <w:t>3/17</w:t>
            </w:r>
          </w:p>
        </w:tc>
        <w:tc>
          <w:tcPr>
            <w:tcW w:w="2203" w:type="dxa"/>
            <w:gridSpan w:val="2"/>
          </w:tcPr>
          <w:p w:rsidR="00EB7F69" w:rsidRDefault="00EB7F69" w:rsidP="002A730C">
            <w:r>
              <w:t>Change No.:</w:t>
            </w:r>
          </w:p>
        </w:tc>
        <w:tc>
          <w:tcPr>
            <w:tcW w:w="2276" w:type="dxa"/>
          </w:tcPr>
          <w:p w:rsidR="00EB7F69" w:rsidRDefault="00EB7F69" w:rsidP="002A730C">
            <w:r>
              <w:t>Page:</w:t>
            </w:r>
          </w:p>
          <w:p w:rsidR="00EB7F69" w:rsidRDefault="00EB7F69" w:rsidP="002A730C"/>
          <w:p w:rsidR="00EB7F69" w:rsidRDefault="00EB7F69" w:rsidP="002A730C">
            <w:r>
              <w:t xml:space="preserve">         </w:t>
            </w:r>
            <w:r w:rsidR="00B43295">
              <w:t>3 of 3</w:t>
            </w:r>
          </w:p>
          <w:p w:rsidR="00EB7F69" w:rsidRDefault="00EB7F69" w:rsidP="002A730C"/>
        </w:tc>
      </w:tr>
    </w:tbl>
    <w:p w:rsidR="00EB7F69" w:rsidRDefault="00EB7F69" w:rsidP="00B731B7"/>
    <w:sectPr w:rsidR="00EB7F69"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A950C9"/>
    <w:multiLevelType w:val="multilevel"/>
    <w:tmpl w:val="1038AD3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747E14"/>
    <w:multiLevelType w:val="multilevel"/>
    <w:tmpl w:val="93744E6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C1173"/>
    <w:multiLevelType w:val="multilevel"/>
    <w:tmpl w:val="45A0939E"/>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134794"/>
    <w:multiLevelType w:val="hybridMultilevel"/>
    <w:tmpl w:val="596CEC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32B23"/>
    <w:multiLevelType w:val="hybridMultilevel"/>
    <w:tmpl w:val="2A42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C6116"/>
    <w:multiLevelType w:val="hybridMultilevel"/>
    <w:tmpl w:val="84C05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F035EE"/>
    <w:multiLevelType w:val="multilevel"/>
    <w:tmpl w:val="61A097F2"/>
    <w:lvl w:ilvl="0">
      <w:start w:val="1"/>
      <w:numFmt w:val="decimal"/>
      <w:lvlText w:val="%1.0"/>
      <w:lvlJc w:val="left"/>
      <w:pPr>
        <w:ind w:left="810" w:hanging="405"/>
      </w:pPr>
      <w:rPr>
        <w:rFonts w:hint="default"/>
      </w:rPr>
    </w:lvl>
    <w:lvl w:ilvl="1">
      <w:start w:val="1"/>
      <w:numFmt w:val="decimal"/>
      <w:lvlText w:val="%1.%2"/>
      <w:lvlJc w:val="left"/>
      <w:pPr>
        <w:ind w:left="1530" w:hanging="405"/>
      </w:pPr>
      <w:rPr>
        <w:rFonts w:hint="default"/>
      </w:rPr>
    </w:lvl>
    <w:lvl w:ilvl="2">
      <w:start w:val="1"/>
      <w:numFmt w:val="decimal"/>
      <w:lvlText w:val="%1.%2.%3"/>
      <w:lvlJc w:val="left"/>
      <w:pPr>
        <w:ind w:left="2565" w:hanging="720"/>
      </w:pPr>
      <w:rPr>
        <w:rFonts w:hint="default"/>
      </w:rPr>
    </w:lvl>
    <w:lvl w:ilvl="3">
      <w:start w:val="1"/>
      <w:numFmt w:val="decimal"/>
      <w:lvlText w:val="%1.%2.%3.%4"/>
      <w:lvlJc w:val="left"/>
      <w:pPr>
        <w:ind w:left="3285" w:hanging="720"/>
      </w:pPr>
      <w:rPr>
        <w:rFonts w:hint="default"/>
      </w:rPr>
    </w:lvl>
    <w:lvl w:ilvl="4">
      <w:start w:val="1"/>
      <w:numFmt w:val="decimal"/>
      <w:lvlText w:val="%1.%2.%3.%4.%5"/>
      <w:lvlJc w:val="left"/>
      <w:pPr>
        <w:ind w:left="4365" w:hanging="1080"/>
      </w:pPr>
      <w:rPr>
        <w:rFonts w:hint="default"/>
      </w:rPr>
    </w:lvl>
    <w:lvl w:ilvl="5">
      <w:start w:val="1"/>
      <w:numFmt w:val="decimal"/>
      <w:lvlText w:val="%1.%2.%3.%4.%5.%6"/>
      <w:lvlJc w:val="left"/>
      <w:pPr>
        <w:ind w:left="5085" w:hanging="1080"/>
      </w:pPr>
      <w:rPr>
        <w:rFonts w:hint="default"/>
      </w:rPr>
    </w:lvl>
    <w:lvl w:ilvl="6">
      <w:start w:val="1"/>
      <w:numFmt w:val="decimal"/>
      <w:lvlText w:val="%1.%2.%3.%4.%5.%6.%7"/>
      <w:lvlJc w:val="left"/>
      <w:pPr>
        <w:ind w:left="6165" w:hanging="1440"/>
      </w:pPr>
      <w:rPr>
        <w:rFonts w:hint="default"/>
      </w:rPr>
    </w:lvl>
    <w:lvl w:ilvl="7">
      <w:start w:val="1"/>
      <w:numFmt w:val="decimal"/>
      <w:lvlText w:val="%1.%2.%3.%4.%5.%6.%7.%8"/>
      <w:lvlJc w:val="left"/>
      <w:pPr>
        <w:ind w:left="6885" w:hanging="1440"/>
      </w:pPr>
      <w:rPr>
        <w:rFonts w:hint="default"/>
      </w:rPr>
    </w:lvl>
    <w:lvl w:ilvl="8">
      <w:start w:val="1"/>
      <w:numFmt w:val="decimal"/>
      <w:lvlText w:val="%1.%2.%3.%4.%5.%6.%7.%8.%9"/>
      <w:lvlJc w:val="left"/>
      <w:pPr>
        <w:ind w:left="7965" w:hanging="1800"/>
      </w:pPr>
      <w:rPr>
        <w:rFonts w:hint="default"/>
      </w:rPr>
    </w:lvl>
  </w:abstractNum>
  <w:abstractNum w:abstractNumId="21" w15:restartNumberingAfterBreak="0">
    <w:nsid w:val="4F856982"/>
    <w:multiLevelType w:val="hybridMultilevel"/>
    <w:tmpl w:val="C3B8E2AA"/>
    <w:lvl w:ilvl="0" w:tplc="1826D96C">
      <w:start w:val="1"/>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7C1CAC"/>
    <w:multiLevelType w:val="multilevel"/>
    <w:tmpl w:val="469A0326"/>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B06FBD"/>
    <w:multiLevelType w:val="hybridMultilevel"/>
    <w:tmpl w:val="A90A4E9E"/>
    <w:lvl w:ilvl="0" w:tplc="531245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120F19"/>
    <w:multiLevelType w:val="hybridMultilevel"/>
    <w:tmpl w:val="D3F864D2"/>
    <w:lvl w:ilvl="0" w:tplc="644C40B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9"/>
  </w:num>
  <w:num w:numId="3">
    <w:abstractNumId w:val="13"/>
  </w:num>
  <w:num w:numId="4">
    <w:abstractNumId w:val="17"/>
  </w:num>
  <w:num w:numId="5">
    <w:abstractNumId w:val="0"/>
  </w:num>
  <w:num w:numId="6">
    <w:abstractNumId w:val="16"/>
  </w:num>
  <w:num w:numId="7">
    <w:abstractNumId w:val="28"/>
  </w:num>
  <w:num w:numId="8">
    <w:abstractNumId w:val="24"/>
  </w:num>
  <w:num w:numId="9">
    <w:abstractNumId w:val="2"/>
  </w:num>
  <w:num w:numId="10">
    <w:abstractNumId w:val="4"/>
  </w:num>
  <w:num w:numId="11">
    <w:abstractNumId w:val="18"/>
  </w:num>
  <w:num w:numId="12">
    <w:abstractNumId w:val="1"/>
  </w:num>
  <w:num w:numId="13">
    <w:abstractNumId w:val="9"/>
  </w:num>
  <w:num w:numId="14">
    <w:abstractNumId w:val="5"/>
  </w:num>
  <w:num w:numId="15">
    <w:abstractNumId w:val="6"/>
  </w:num>
  <w:num w:numId="16">
    <w:abstractNumId w:val="14"/>
  </w:num>
  <w:num w:numId="17">
    <w:abstractNumId w:val="15"/>
  </w:num>
  <w:num w:numId="18">
    <w:abstractNumId w:val="25"/>
  </w:num>
  <w:num w:numId="19">
    <w:abstractNumId w:val="22"/>
  </w:num>
  <w:num w:numId="20">
    <w:abstractNumId w:val="7"/>
  </w:num>
  <w:num w:numId="21">
    <w:abstractNumId w:val="3"/>
  </w:num>
  <w:num w:numId="22">
    <w:abstractNumId w:val="23"/>
  </w:num>
  <w:num w:numId="23">
    <w:abstractNumId w:val="8"/>
  </w:num>
  <w:num w:numId="24">
    <w:abstractNumId w:val="21"/>
  </w:num>
  <w:num w:numId="25">
    <w:abstractNumId w:val="20"/>
  </w:num>
  <w:num w:numId="26">
    <w:abstractNumId w:val="11"/>
  </w:num>
  <w:num w:numId="27">
    <w:abstractNumId w:val="10"/>
  </w:num>
  <w:num w:numId="28">
    <w:abstractNumId w:val="26"/>
  </w:num>
  <w:num w:numId="29">
    <w:abstractNumId w:val="2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016312"/>
    <w:rsid w:val="00050DD8"/>
    <w:rsid w:val="000B2854"/>
    <w:rsid w:val="0016452D"/>
    <w:rsid w:val="001908A1"/>
    <w:rsid w:val="001C4DE9"/>
    <w:rsid w:val="001F4527"/>
    <w:rsid w:val="00231CDA"/>
    <w:rsid w:val="002942ED"/>
    <w:rsid w:val="002A730C"/>
    <w:rsid w:val="00333BB5"/>
    <w:rsid w:val="00347ED8"/>
    <w:rsid w:val="003633BA"/>
    <w:rsid w:val="004602A8"/>
    <w:rsid w:val="00495518"/>
    <w:rsid w:val="004A3044"/>
    <w:rsid w:val="00510140"/>
    <w:rsid w:val="005915DC"/>
    <w:rsid w:val="005B31CA"/>
    <w:rsid w:val="00617068"/>
    <w:rsid w:val="00693714"/>
    <w:rsid w:val="00772973"/>
    <w:rsid w:val="0084125D"/>
    <w:rsid w:val="00863F06"/>
    <w:rsid w:val="008E5F8B"/>
    <w:rsid w:val="00953EA7"/>
    <w:rsid w:val="009560CA"/>
    <w:rsid w:val="00977358"/>
    <w:rsid w:val="009B7383"/>
    <w:rsid w:val="009E3269"/>
    <w:rsid w:val="009E67CD"/>
    <w:rsid w:val="00A91B6D"/>
    <w:rsid w:val="00AF4E21"/>
    <w:rsid w:val="00B02F13"/>
    <w:rsid w:val="00B2514A"/>
    <w:rsid w:val="00B405E5"/>
    <w:rsid w:val="00B43295"/>
    <w:rsid w:val="00B46C84"/>
    <w:rsid w:val="00B731B7"/>
    <w:rsid w:val="00B96F9E"/>
    <w:rsid w:val="00BC5BF6"/>
    <w:rsid w:val="00C12F1D"/>
    <w:rsid w:val="00C37945"/>
    <w:rsid w:val="00C7775D"/>
    <w:rsid w:val="00C826D3"/>
    <w:rsid w:val="00C87D03"/>
    <w:rsid w:val="00CB556F"/>
    <w:rsid w:val="00CF6964"/>
    <w:rsid w:val="00D01EA7"/>
    <w:rsid w:val="00D22661"/>
    <w:rsid w:val="00EA510A"/>
    <w:rsid w:val="00EB7F69"/>
    <w:rsid w:val="00EE1934"/>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0BFAC4-01C5-4D0C-A999-FB8A6DAD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NoSpacing">
    <w:name w:val="No Spacing"/>
    <w:uiPriority w:val="1"/>
    <w:qFormat/>
    <w:rsid w:val="00B43295"/>
    <w:rPr>
      <w:rFonts w:ascii="Calibri" w:eastAsia="Calibri" w:hAnsi="Calibri"/>
      <w:sz w:val="22"/>
      <w:szCs w:val="22"/>
    </w:rPr>
  </w:style>
  <w:style w:type="paragraph" w:styleId="ListParagraph">
    <w:name w:val="List Paragraph"/>
    <w:basedOn w:val="Normal"/>
    <w:uiPriority w:val="34"/>
    <w:qFormat/>
    <w:rsid w:val="000B285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2007-04-09T20:07:00Z</cp:lastPrinted>
  <dcterms:created xsi:type="dcterms:W3CDTF">2018-09-12T18:29:00Z</dcterms:created>
  <dcterms:modified xsi:type="dcterms:W3CDTF">2018-09-12T18:29:00Z</dcterms:modified>
</cp:coreProperties>
</file>