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F2E63">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F2E63" w:rsidRDefault="000F2E63">
            <w:bookmarkStart w:id="0" w:name="_GoBack"/>
            <w:bookmarkEnd w:id="0"/>
          </w:p>
          <w:p w:rsidR="000F2E63" w:rsidRDefault="00E54B60" w:rsidP="00E54B60">
            <w:pPr>
              <w:pStyle w:val="ListParagraph"/>
            </w:pPr>
            <w:r>
              <w:t xml:space="preserve"> </w:t>
            </w:r>
            <w:r w:rsidR="000F2E63">
              <w:t xml:space="preserve">       COMPLIANCE, LICENSURE AND LEGAL REQUIREMENTS</w:t>
            </w:r>
            <w:r w:rsidR="000F2E63">
              <w:rPr>
                <w:sz w:val="22"/>
              </w:rPr>
              <w:t xml:space="preserve"> </w:t>
            </w:r>
          </w:p>
          <w:p w:rsidR="000F2E63" w:rsidRDefault="000F2E63"/>
        </w:tc>
        <w:tc>
          <w:tcPr>
            <w:tcW w:w="2340" w:type="dxa"/>
            <w:gridSpan w:val="2"/>
            <w:tcBorders>
              <w:top w:val="single" w:sz="6" w:space="0" w:color="auto"/>
              <w:left w:val="single" w:sz="6" w:space="0" w:color="auto"/>
              <w:bottom w:val="single" w:sz="6" w:space="0" w:color="auto"/>
              <w:right w:val="single" w:sz="6" w:space="0" w:color="auto"/>
            </w:tcBorders>
          </w:tcPr>
          <w:p w:rsidR="000F2E63" w:rsidRDefault="000F2E63"/>
          <w:p w:rsidR="000F2E63" w:rsidRDefault="000F2E63">
            <w:r>
              <w:t>NO.    100</w:t>
            </w:r>
          </w:p>
        </w:tc>
      </w:tr>
      <w:tr w:rsidR="000F2E63">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F2E63" w:rsidRDefault="000F2E63"/>
          <w:p w:rsidR="000F2E63" w:rsidRDefault="000F2E63">
            <w:pPr>
              <w:ind w:left="720" w:right="792"/>
            </w:pPr>
            <w:r>
              <w:t>It is the policy of Winning Wheels, In</w:t>
            </w:r>
            <w:r w:rsidR="00CB7FD6">
              <w:t xml:space="preserve">c. to be in compliance with </w:t>
            </w:r>
            <w:r>
              <w:t>legal requirements and guidelines applicable to the organization, which includes</w:t>
            </w:r>
            <w:r w:rsidR="00CB7FD6">
              <w:t>,</w:t>
            </w:r>
            <w:r>
              <w:t xml:space="preserve"> but is not limited to</w:t>
            </w:r>
            <w:r w:rsidR="00CB7FD6">
              <w:t>,</w:t>
            </w:r>
            <w:r>
              <w:t xml:space="preserve"> the following:</w:t>
            </w:r>
          </w:p>
          <w:p w:rsidR="000F2E63" w:rsidRDefault="000F2E63">
            <w:pPr>
              <w:ind w:left="720" w:right="792"/>
            </w:pPr>
          </w:p>
          <w:p w:rsidR="000F2E63" w:rsidRDefault="000F2E63" w:rsidP="00CB7FD6">
            <w:pPr>
              <w:numPr>
                <w:ilvl w:val="0"/>
                <w:numId w:val="1"/>
              </w:numPr>
              <w:ind w:right="792"/>
            </w:pPr>
            <w:r>
              <w:t>ADA Requirements / Accessibility guidelines</w:t>
            </w:r>
          </w:p>
          <w:p w:rsidR="000F2E63" w:rsidRDefault="000F2E63" w:rsidP="00CB7FD6">
            <w:pPr>
              <w:numPr>
                <w:ilvl w:val="0"/>
                <w:numId w:val="1"/>
              </w:numPr>
              <w:ind w:right="792"/>
            </w:pPr>
            <w:r>
              <w:t>Affirmative Action / E.E.O.C.</w:t>
            </w:r>
          </w:p>
          <w:p w:rsidR="000F2E63" w:rsidRDefault="000F2E63" w:rsidP="00CB7FD6">
            <w:pPr>
              <w:numPr>
                <w:ilvl w:val="0"/>
                <w:numId w:val="1"/>
              </w:numPr>
              <w:ind w:right="792"/>
            </w:pPr>
            <w:r>
              <w:t>Health and Safety</w:t>
            </w:r>
          </w:p>
          <w:p w:rsidR="000F2E63" w:rsidRDefault="000F2E63" w:rsidP="00CB7FD6">
            <w:pPr>
              <w:numPr>
                <w:ilvl w:val="0"/>
                <w:numId w:val="1"/>
              </w:numPr>
              <w:ind w:right="792"/>
            </w:pPr>
            <w:r>
              <w:t>Fair Labor Practices</w:t>
            </w:r>
          </w:p>
          <w:p w:rsidR="000F2E63" w:rsidRDefault="000F2E63" w:rsidP="00CB7FD6">
            <w:pPr>
              <w:numPr>
                <w:ilvl w:val="0"/>
                <w:numId w:val="1"/>
              </w:numPr>
              <w:ind w:right="792"/>
            </w:pPr>
            <w:r>
              <w:t>Licensure and Certification</w:t>
            </w:r>
          </w:p>
          <w:p w:rsidR="000F2E63" w:rsidRDefault="000F2E63" w:rsidP="00CB7FD6">
            <w:pPr>
              <w:numPr>
                <w:ilvl w:val="0"/>
                <w:numId w:val="2"/>
              </w:numPr>
              <w:ind w:right="792"/>
            </w:pPr>
            <w:r>
              <w:t>IDPH (Illinois Department of Public Health)</w:t>
            </w:r>
          </w:p>
          <w:p w:rsidR="000F2E63" w:rsidRDefault="000F2E63" w:rsidP="00CB7FD6">
            <w:pPr>
              <w:numPr>
                <w:ilvl w:val="0"/>
                <w:numId w:val="2"/>
              </w:numPr>
              <w:ind w:right="792"/>
            </w:pPr>
            <w:r>
              <w:t>IDPA (Illinois Department of Public Aid)</w:t>
            </w:r>
          </w:p>
          <w:p w:rsidR="000F2E63" w:rsidRDefault="000F2E63" w:rsidP="00CB7FD6">
            <w:pPr>
              <w:numPr>
                <w:ilvl w:val="0"/>
                <w:numId w:val="2"/>
              </w:numPr>
              <w:ind w:right="792"/>
            </w:pPr>
            <w:r>
              <w:t>Life Safety Code (State of Illinois)</w:t>
            </w:r>
          </w:p>
          <w:p w:rsidR="000F2E63" w:rsidRDefault="000F2E63" w:rsidP="00CB7FD6">
            <w:pPr>
              <w:numPr>
                <w:ilvl w:val="0"/>
                <w:numId w:val="2"/>
              </w:numPr>
              <w:ind w:right="792"/>
            </w:pPr>
            <w:r>
              <w:t>OSHA (Occupational Safety and Health Association)</w:t>
            </w:r>
          </w:p>
          <w:p w:rsidR="000F2E63" w:rsidRDefault="000F2E63" w:rsidP="00CB7FD6">
            <w:pPr>
              <w:numPr>
                <w:ilvl w:val="0"/>
                <w:numId w:val="2"/>
              </w:numPr>
              <w:ind w:right="792"/>
            </w:pPr>
            <w:r>
              <w:t>DHS (Department of Human Services)</w:t>
            </w:r>
          </w:p>
          <w:p w:rsidR="000F2E63" w:rsidRDefault="000F2E63" w:rsidP="00CB7FD6">
            <w:pPr>
              <w:numPr>
                <w:ilvl w:val="0"/>
                <w:numId w:val="2"/>
              </w:numPr>
              <w:ind w:right="792"/>
            </w:pPr>
            <w:r>
              <w:t>CARF (National Accreditation for Rehabilitation Facilities)</w:t>
            </w:r>
          </w:p>
          <w:p w:rsidR="000F2E63" w:rsidRDefault="000F2E63" w:rsidP="00CB7FD6">
            <w:pPr>
              <w:numPr>
                <w:ilvl w:val="0"/>
                <w:numId w:val="2"/>
              </w:numPr>
              <w:ind w:right="792"/>
            </w:pPr>
            <w:r>
              <w:t>OBRA (Omnibus Reconciliation Act)</w:t>
            </w:r>
          </w:p>
          <w:p w:rsidR="000F2E63" w:rsidRDefault="000F2E63" w:rsidP="00CB7FD6">
            <w:pPr>
              <w:numPr>
                <w:ilvl w:val="0"/>
                <w:numId w:val="2"/>
              </w:numPr>
              <w:ind w:right="792"/>
            </w:pPr>
            <w:r>
              <w:t>Healthcare Worker Background Check</w:t>
            </w:r>
          </w:p>
          <w:p w:rsidR="000F2E63" w:rsidRDefault="000F2E63" w:rsidP="00CB7FD6">
            <w:pPr>
              <w:numPr>
                <w:ilvl w:val="0"/>
                <w:numId w:val="2"/>
              </w:numPr>
              <w:ind w:right="792"/>
            </w:pPr>
            <w:r>
              <w:t>CMS (Centers for Medicare and Medicaid Services)</w:t>
            </w:r>
          </w:p>
          <w:p w:rsidR="000F2E63" w:rsidRDefault="000F2E63" w:rsidP="00CB7FD6">
            <w:pPr>
              <w:numPr>
                <w:ilvl w:val="0"/>
                <w:numId w:val="2"/>
              </w:numPr>
              <w:ind w:right="792"/>
            </w:pPr>
            <w:r>
              <w:t>HIPAA (Health Insurance Portability and Accountability Act)</w:t>
            </w:r>
          </w:p>
          <w:p w:rsidR="000F2E63" w:rsidRDefault="000F2E63">
            <w:pPr>
              <w:ind w:left="720" w:right="792"/>
              <w:rPr>
                <w:sz w:val="22"/>
              </w:rPr>
            </w:pPr>
          </w:p>
          <w:p w:rsidR="000F2E63" w:rsidRDefault="000F2E63">
            <w:pPr>
              <w:ind w:left="720" w:right="792"/>
              <w:rPr>
                <w:sz w:val="22"/>
              </w:rPr>
            </w:pPr>
          </w:p>
          <w:p w:rsidR="000F2E63" w:rsidRDefault="000F2E63">
            <w:pPr>
              <w:ind w:left="720" w:right="792"/>
              <w:rPr>
                <w:sz w:val="22"/>
              </w:rPr>
            </w:pPr>
            <w:r>
              <w:rPr>
                <w:sz w:val="22"/>
              </w:rPr>
              <w:t>The Administrator serves as the organization’s primary point of contact for monitoring and reporting on matters pertaining to corporate compliance.  Winning Wheels is committed to protecting its personnel when actions of the organization are put under scrutiny.  Personnel wil</w:t>
            </w:r>
            <w:r w:rsidR="00CB7FD6">
              <w:rPr>
                <w:sz w:val="22"/>
              </w:rPr>
              <w:t>l be given assistance during</w:t>
            </w:r>
            <w:r>
              <w:rPr>
                <w:sz w:val="22"/>
              </w:rPr>
              <w:t xml:space="preserve"> investigative process</w:t>
            </w:r>
            <w:r w:rsidR="00CB7FD6">
              <w:rPr>
                <w:sz w:val="22"/>
              </w:rPr>
              <w:t>es</w:t>
            </w:r>
            <w:r>
              <w:rPr>
                <w:sz w:val="22"/>
              </w:rPr>
              <w:t>.</w:t>
            </w:r>
          </w:p>
          <w:p w:rsidR="000F2E63" w:rsidRDefault="000F2E63">
            <w:pPr>
              <w:ind w:left="720" w:right="792"/>
              <w:rPr>
                <w:sz w:val="22"/>
              </w:rPr>
            </w:pPr>
          </w:p>
          <w:p w:rsidR="000F2E63" w:rsidRDefault="000F2E63">
            <w:pPr>
              <w:ind w:left="720" w:right="792"/>
              <w:rPr>
                <w:sz w:val="22"/>
              </w:rPr>
            </w:pPr>
            <w:r>
              <w:rPr>
                <w:sz w:val="22"/>
              </w:rPr>
              <w:t xml:space="preserve">Winning Wheels has established processes to </w:t>
            </w:r>
            <w:r w:rsidR="00CB7FD6">
              <w:rPr>
                <w:sz w:val="22"/>
              </w:rPr>
              <w:t>assess,</w:t>
            </w:r>
            <w:r>
              <w:rPr>
                <w:sz w:val="22"/>
              </w:rPr>
              <w:t xml:space="preserve"> correct</w:t>
            </w:r>
            <w:r w:rsidR="00CB7FD6">
              <w:rPr>
                <w:sz w:val="22"/>
              </w:rPr>
              <w:t>,</w:t>
            </w:r>
            <w:r>
              <w:rPr>
                <w:sz w:val="22"/>
              </w:rPr>
              <w:t xml:space="preserve"> a</w:t>
            </w:r>
            <w:r w:rsidR="00CB7FD6">
              <w:rPr>
                <w:sz w:val="22"/>
              </w:rPr>
              <w:t>nd monitor compliance issues in</w:t>
            </w:r>
            <w:r>
              <w:rPr>
                <w:sz w:val="22"/>
              </w:rPr>
              <w:t xml:space="preserve"> areas including clinical services and records or fiscal services.</w:t>
            </w:r>
          </w:p>
          <w:p w:rsidR="000F2E63" w:rsidRDefault="000F2E63">
            <w:pPr>
              <w:rPr>
                <w:sz w:val="22"/>
              </w:rPr>
            </w:pPr>
          </w:p>
          <w:p w:rsidR="000F2E63" w:rsidRDefault="000F2E63">
            <w:pPr>
              <w:rPr>
                <w:sz w:val="22"/>
              </w:rPr>
            </w:pPr>
          </w:p>
          <w:p w:rsidR="000F2E63" w:rsidRDefault="000F2E63">
            <w:pPr>
              <w:rPr>
                <w:sz w:val="22"/>
              </w:rPr>
            </w:pPr>
          </w:p>
          <w:p w:rsidR="000F2E63" w:rsidRDefault="000F2E63"/>
          <w:p w:rsidR="000F2E63" w:rsidRDefault="000F2E63">
            <w:pPr>
              <w:ind w:left="720" w:right="720"/>
            </w:pPr>
          </w:p>
          <w:p w:rsidR="000F2E63" w:rsidRDefault="000F2E63"/>
          <w:p w:rsidR="000F2E63" w:rsidRDefault="000F2E63"/>
          <w:p w:rsidR="000F2E63" w:rsidRDefault="000F2E63"/>
          <w:p w:rsidR="000F2E63" w:rsidRDefault="000F2E63"/>
          <w:p w:rsidR="000F2E63" w:rsidRDefault="000F2E63"/>
          <w:p w:rsidR="000F2E63" w:rsidRDefault="000F2E63"/>
          <w:p w:rsidR="000F2E63" w:rsidRDefault="000F2E63"/>
          <w:p w:rsidR="000F2E63" w:rsidRDefault="000F2E63"/>
          <w:p w:rsidR="000F2E63" w:rsidRDefault="000F2E63"/>
        </w:tc>
      </w:tr>
      <w:tr w:rsidR="000F2E63">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F2E63" w:rsidRDefault="000F2E63">
            <w:r>
              <w:t>Approved:</w:t>
            </w:r>
          </w:p>
        </w:tc>
        <w:tc>
          <w:tcPr>
            <w:tcW w:w="2203" w:type="dxa"/>
            <w:tcBorders>
              <w:top w:val="single" w:sz="6" w:space="0" w:color="auto"/>
              <w:left w:val="single" w:sz="6" w:space="0" w:color="auto"/>
              <w:bottom w:val="single" w:sz="6" w:space="0" w:color="auto"/>
              <w:right w:val="single" w:sz="6" w:space="0" w:color="auto"/>
            </w:tcBorders>
          </w:tcPr>
          <w:p w:rsidR="000F2E63" w:rsidRDefault="000F2E63">
            <w:r>
              <w:t>Effective Date:</w:t>
            </w:r>
          </w:p>
          <w:p w:rsidR="000F2E63" w:rsidRDefault="000F2E63"/>
          <w:p w:rsidR="000F2E63" w:rsidRDefault="000F2E63">
            <w:r>
              <w:t xml:space="preserve">             3/86</w:t>
            </w:r>
          </w:p>
        </w:tc>
        <w:tc>
          <w:tcPr>
            <w:tcW w:w="2203" w:type="dxa"/>
            <w:tcBorders>
              <w:top w:val="single" w:sz="6" w:space="0" w:color="auto"/>
              <w:left w:val="single" w:sz="6" w:space="0" w:color="auto"/>
              <w:bottom w:val="single" w:sz="6" w:space="0" w:color="auto"/>
              <w:right w:val="single" w:sz="6" w:space="0" w:color="auto"/>
            </w:tcBorders>
          </w:tcPr>
          <w:p w:rsidR="000F2E63" w:rsidRDefault="000F2E63">
            <w:r>
              <w:t>Revision Date:</w:t>
            </w:r>
          </w:p>
          <w:p w:rsidR="000F2E63" w:rsidRDefault="000F2E63"/>
          <w:p w:rsidR="000F2E63" w:rsidRDefault="005E541E">
            <w:r>
              <w:t xml:space="preserve">   </w:t>
            </w:r>
            <w:r w:rsidR="000F2E63">
              <w:t>7/95; 10/08</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0F2E63" w:rsidRDefault="000F2E63">
            <w:r>
              <w:t>Change No.:</w:t>
            </w:r>
          </w:p>
        </w:tc>
        <w:tc>
          <w:tcPr>
            <w:tcW w:w="2276" w:type="dxa"/>
            <w:tcBorders>
              <w:top w:val="single" w:sz="6" w:space="0" w:color="auto"/>
              <w:left w:val="single" w:sz="6" w:space="0" w:color="auto"/>
              <w:bottom w:val="single" w:sz="6" w:space="0" w:color="auto"/>
              <w:right w:val="single" w:sz="6" w:space="0" w:color="auto"/>
            </w:tcBorders>
          </w:tcPr>
          <w:p w:rsidR="000F2E63" w:rsidRDefault="000F2E63">
            <w:r>
              <w:t>Page:</w:t>
            </w:r>
          </w:p>
          <w:p w:rsidR="000F2E63" w:rsidRDefault="000F2E63"/>
          <w:p w:rsidR="000F2E63" w:rsidRDefault="000F2E63">
            <w:r>
              <w:t xml:space="preserve">              1 of 1</w:t>
            </w:r>
          </w:p>
          <w:p w:rsidR="000F2E63" w:rsidRDefault="000F2E63"/>
        </w:tc>
      </w:tr>
    </w:tbl>
    <w:p w:rsidR="000F2E63" w:rsidRDefault="000F2E63"/>
    <w:sectPr w:rsidR="000F2E6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E5A"/>
    <w:multiLevelType w:val="singleLevel"/>
    <w:tmpl w:val="50008A50"/>
    <w:lvl w:ilvl="0">
      <w:start w:val="1"/>
      <w:numFmt w:val="lowerLetter"/>
      <w:lvlText w:val="%1."/>
      <w:legacy w:legacy="1" w:legacySpace="120" w:legacyIndent="360"/>
      <w:lvlJc w:val="left"/>
      <w:pPr>
        <w:ind w:left="1800" w:hanging="360"/>
      </w:pPr>
    </w:lvl>
  </w:abstractNum>
  <w:abstractNum w:abstractNumId="1" w15:restartNumberingAfterBreak="0">
    <w:nsid w:val="19520919"/>
    <w:multiLevelType w:val="singleLevel"/>
    <w:tmpl w:val="8AF0C44C"/>
    <w:lvl w:ilvl="0">
      <w:start w:val="1"/>
      <w:numFmt w:val="decimal"/>
      <w:lvlText w:val="%1.)"/>
      <w:legacy w:legacy="1" w:legacySpace="120" w:legacyIndent="720"/>
      <w:lvlJc w:val="left"/>
      <w:pPr>
        <w:ind w:left="144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FD6"/>
    <w:rsid w:val="000F2E63"/>
    <w:rsid w:val="004D7E3D"/>
    <w:rsid w:val="005E541E"/>
    <w:rsid w:val="00CB7FD6"/>
    <w:rsid w:val="00E5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F02436-4C6A-4C68-BEF1-C41B870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E54B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2008-10-15T22:00:00Z</cp:lastPrinted>
  <dcterms:created xsi:type="dcterms:W3CDTF">2018-09-12T18:29:00Z</dcterms:created>
  <dcterms:modified xsi:type="dcterms:W3CDTF">2018-09-12T18:29:00Z</dcterms:modified>
</cp:coreProperties>
</file>